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640" w:firstLineChars="200"/>
        <w:jc w:val="left"/>
        <w:rPr>
          <w:rFonts w:hint="eastAsia" w:ascii="Times New Roman" w:hAnsi="Times New Roman" w:eastAsia="黑体"/>
          <w:color w:val="auto"/>
          <w:sz w:val="32"/>
          <w:szCs w:val="32"/>
        </w:rPr>
      </w:pPr>
      <w:r>
        <w:rPr>
          <w:rFonts w:hint="default" w:ascii="Times New Roman" w:hAnsi="Times New Roman" w:eastAsia="黑体" w:cs="Times New Roman"/>
          <w:color w:val="auto"/>
          <w:sz w:val="32"/>
          <w:szCs w:val="32"/>
        </w:rPr>
        <w:t>附件3</w:t>
      </w:r>
    </w:p>
    <w:p>
      <w:pPr>
        <w:pStyle w:val="2"/>
        <w:spacing w:line="600" w:lineRule="exact"/>
        <w:ind w:firstLine="640" w:firstLineChars="200"/>
        <w:jc w:val="left"/>
        <w:rPr>
          <w:rFonts w:hint="default" w:ascii="Times New Roman" w:hAnsi="Times New Roman" w:eastAsia="黑体" w:cs="Times New Roman"/>
          <w:color w:val="auto"/>
          <w:sz w:val="32"/>
          <w:szCs w:val="32"/>
        </w:rPr>
      </w:pPr>
    </w:p>
    <w:p>
      <w:pPr>
        <w:pStyle w:val="2"/>
        <w:spacing w:line="600" w:lineRule="exact"/>
        <w:ind w:firstLine="0" w:firstLineChars="0"/>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部门预算整体绩效自评报告</w:t>
      </w:r>
    </w:p>
    <w:p>
      <w:pPr>
        <w:pStyle w:val="2"/>
        <w:spacing w:line="600" w:lineRule="exact"/>
        <w:ind w:firstLine="640" w:firstLineChars="200"/>
        <w:jc w:val="left"/>
        <w:rPr>
          <w:rFonts w:ascii="Times New Roman" w:hAnsi="Times New Roman" w:eastAsia="仿宋_GB2312" w:cs="Times New Roman"/>
          <w:color w:val="auto"/>
          <w:sz w:val="32"/>
          <w:szCs w:val="32"/>
        </w:rPr>
      </w:pPr>
    </w:p>
    <w:p>
      <w:pPr>
        <w:pStyle w:val="2"/>
        <w:spacing w:line="600" w:lineRule="exact"/>
        <w:ind w:firstLine="640" w:firstLineChars="200"/>
        <w:jc w:val="left"/>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一、部门概况</w:t>
      </w:r>
    </w:p>
    <w:p>
      <w:pPr>
        <w:pStyle w:val="2"/>
        <w:spacing w:line="60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基本</w:t>
      </w:r>
      <w:r>
        <w:rPr>
          <w:rFonts w:ascii="仿宋_GB2312" w:hAnsi="仿宋_GB2312" w:eastAsia="仿宋_GB2312" w:cs="仿宋_GB2312"/>
          <w:color w:val="auto"/>
          <w:sz w:val="32"/>
          <w:szCs w:val="32"/>
        </w:rPr>
        <w:t>职能</w:t>
      </w:r>
      <w:r>
        <w:rPr>
          <w:rFonts w:hint="eastAsia" w:ascii="仿宋_GB2312" w:hAnsi="仿宋_GB2312" w:eastAsia="仿宋_GB2312" w:cs="仿宋_GB2312"/>
          <w:color w:val="auto"/>
          <w:sz w:val="32"/>
          <w:szCs w:val="32"/>
        </w:rPr>
        <w:t>。</w:t>
      </w:r>
    </w:p>
    <w:p>
      <w:pPr>
        <w:pStyle w:val="2"/>
        <w:spacing w:line="60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维护军人军属合法权益，加强退役军人服务保障体系建设，建立健全集中统一、职责清晰的退役军人管理保障体制。</w:t>
      </w:r>
    </w:p>
    <w:p>
      <w:pPr>
        <w:pStyle w:val="2"/>
        <w:spacing w:line="60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（二）人员概况。</w:t>
      </w:r>
    </w:p>
    <w:p>
      <w:pPr>
        <w:spacing w:line="600" w:lineRule="exact"/>
        <w:ind w:firstLine="645"/>
        <w:rPr>
          <w:rFonts w:ascii="仿宋_GB2312" w:eastAsia="仿宋_GB2312"/>
          <w:color w:val="auto"/>
          <w:sz w:val="32"/>
          <w:szCs w:val="32"/>
        </w:rPr>
      </w:pPr>
      <w:r>
        <w:rPr>
          <w:rFonts w:hint="eastAsia" w:ascii="仿宋_GB2312" w:eastAsia="仿宋_GB2312"/>
          <w:color w:val="auto"/>
          <w:sz w:val="32"/>
          <w:szCs w:val="32"/>
        </w:rPr>
        <w:t>攀枝花市退役军人事务局</w:t>
      </w:r>
      <w:r>
        <w:rPr>
          <w:rFonts w:hint="eastAsia" w:ascii="仿宋_GB2312" w:eastAsia="仿宋_GB2312"/>
          <w:color w:val="auto"/>
          <w:sz w:val="32"/>
          <w:szCs w:val="32"/>
          <w:lang w:eastAsia="zh-CN"/>
        </w:rPr>
        <w:t>属行政机构，下属独立核算事业单位</w:t>
      </w:r>
      <w:r>
        <w:rPr>
          <w:rFonts w:hint="eastAsia" w:ascii="仿宋_GB2312" w:eastAsia="仿宋_GB2312"/>
          <w:color w:val="auto"/>
          <w:sz w:val="32"/>
          <w:szCs w:val="32"/>
          <w:lang w:val="en-US" w:eastAsia="zh-CN"/>
        </w:rPr>
        <w:t>3个，分别是：</w:t>
      </w:r>
      <w:r>
        <w:rPr>
          <w:rFonts w:hint="eastAsia" w:ascii="仿宋_GB2312" w:eastAsia="仿宋_GB2312"/>
          <w:color w:val="auto"/>
          <w:sz w:val="32"/>
          <w:szCs w:val="32"/>
        </w:rPr>
        <w:t>攀枝花市退役军人服务中心、攀枝花市离退休干部休养所、攀枝花市军供站。</w:t>
      </w:r>
    </w:p>
    <w:p>
      <w:pPr>
        <w:spacing w:line="600" w:lineRule="exact"/>
        <w:ind w:firstLine="645"/>
        <w:rPr>
          <w:rFonts w:hint="eastAsia" w:ascii="仿宋_GB2312" w:eastAsia="仿宋_GB2312"/>
          <w:color w:val="auto"/>
          <w:sz w:val="32"/>
          <w:szCs w:val="32"/>
        </w:rPr>
      </w:pPr>
      <w:r>
        <w:rPr>
          <w:rFonts w:hint="eastAsia" w:ascii="仿宋_GB2312" w:eastAsia="仿宋_GB2312"/>
          <w:color w:val="auto"/>
          <w:sz w:val="32"/>
          <w:szCs w:val="32"/>
        </w:rPr>
        <w:t>我局及</w:t>
      </w:r>
      <w:r>
        <w:rPr>
          <w:rFonts w:hint="eastAsia" w:ascii="仿宋_GB2312" w:eastAsia="仿宋_GB2312"/>
          <w:color w:val="auto"/>
          <w:sz w:val="32"/>
          <w:szCs w:val="32"/>
          <w:lang w:eastAsia="zh-CN"/>
        </w:rPr>
        <w:t>局属独立</w:t>
      </w:r>
      <w:r>
        <w:rPr>
          <w:rFonts w:hint="eastAsia" w:ascii="仿宋_GB2312" w:eastAsia="仿宋_GB2312"/>
          <w:color w:val="auto"/>
          <w:sz w:val="32"/>
          <w:szCs w:val="32"/>
        </w:rPr>
        <w:t>核算事业单位编制</w:t>
      </w:r>
      <w:r>
        <w:rPr>
          <w:rFonts w:hint="eastAsia" w:ascii="仿宋_GB2312" w:eastAsia="仿宋_GB2312"/>
          <w:color w:val="auto"/>
          <w:sz w:val="32"/>
          <w:szCs w:val="32"/>
          <w:lang w:val="en-US" w:eastAsia="zh-CN"/>
        </w:rPr>
        <w:t>48</w:t>
      </w:r>
      <w:r>
        <w:rPr>
          <w:rFonts w:hint="eastAsia" w:ascii="仿宋_GB2312" w:eastAsia="仿宋_GB2312"/>
          <w:color w:val="auto"/>
          <w:sz w:val="32"/>
          <w:szCs w:val="32"/>
        </w:rPr>
        <w:t>人，</w:t>
      </w:r>
      <w:r>
        <w:rPr>
          <w:rFonts w:hint="default" w:ascii="仿宋_GB2312" w:eastAsia="仿宋_GB2312"/>
          <w:color w:val="auto"/>
          <w:sz w:val="32"/>
          <w:szCs w:val="32"/>
        </w:rPr>
        <w:t>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年在职人员总数</w:t>
      </w:r>
      <w:r>
        <w:rPr>
          <w:rFonts w:hint="eastAsia" w:ascii="仿宋_GB2312" w:eastAsia="仿宋_GB2312"/>
          <w:color w:val="auto"/>
          <w:sz w:val="32"/>
          <w:szCs w:val="32"/>
          <w:lang w:val="en-US" w:eastAsia="zh-CN"/>
        </w:rPr>
        <w:t>49</w:t>
      </w:r>
      <w:r>
        <w:rPr>
          <w:rFonts w:hint="eastAsia" w:ascii="仿宋_GB2312" w:eastAsia="仿宋_GB2312"/>
          <w:color w:val="auto"/>
          <w:sz w:val="32"/>
          <w:szCs w:val="32"/>
        </w:rPr>
        <w:t>人，其中：行政人员</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人，机关工勤人员</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人</w:t>
      </w:r>
      <w:r>
        <w:rPr>
          <w:rFonts w:hint="default" w:ascii="仿宋_GB2312" w:eastAsia="仿宋_GB2312"/>
          <w:color w:val="auto"/>
          <w:sz w:val="32"/>
          <w:szCs w:val="32"/>
        </w:rPr>
        <w:t>;</w:t>
      </w:r>
      <w:r>
        <w:rPr>
          <w:rFonts w:hint="eastAsia" w:ascii="仿宋_GB2312" w:eastAsia="仿宋_GB2312"/>
          <w:color w:val="auto"/>
          <w:sz w:val="32"/>
          <w:szCs w:val="32"/>
        </w:rPr>
        <w:t>编内临聘人员</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人；事业人员</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人；退休人员</w:t>
      </w:r>
      <w:r>
        <w:rPr>
          <w:rFonts w:hint="eastAsia" w:ascii="仿宋_GB2312" w:eastAsia="仿宋_GB2312"/>
          <w:color w:val="auto"/>
          <w:sz w:val="32"/>
          <w:szCs w:val="32"/>
          <w:lang w:val="en-US" w:eastAsia="zh-CN"/>
        </w:rPr>
        <w:t>51</w:t>
      </w:r>
      <w:r>
        <w:rPr>
          <w:rFonts w:hint="eastAsia" w:ascii="仿宋_GB2312" w:eastAsia="仿宋_GB2312"/>
          <w:color w:val="auto"/>
          <w:sz w:val="32"/>
          <w:szCs w:val="32"/>
        </w:rPr>
        <w:t>人。</w:t>
      </w:r>
    </w:p>
    <w:p>
      <w:pPr>
        <w:pStyle w:val="2"/>
        <w:spacing w:line="60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ascii="仿宋_GB2312" w:hAnsi="仿宋_GB2312" w:eastAsia="仿宋_GB2312" w:cs="仿宋_GB2312"/>
          <w:color w:val="auto"/>
          <w:sz w:val="32"/>
          <w:szCs w:val="32"/>
        </w:rPr>
        <w:t>固定资产情况</w:t>
      </w:r>
      <w:r>
        <w:rPr>
          <w:rFonts w:hint="eastAsia" w:ascii="仿宋_GB2312" w:hAnsi="仿宋_GB2312" w:eastAsia="仿宋_GB2312" w:cs="仿宋_GB2312"/>
          <w:color w:val="auto"/>
          <w:sz w:val="32"/>
          <w:szCs w:val="32"/>
        </w:rPr>
        <w:t>。</w:t>
      </w:r>
    </w:p>
    <w:p>
      <w:pPr>
        <w:pStyle w:val="2"/>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年末固定资产期末账面数原值</w:t>
      </w:r>
      <w:r>
        <w:rPr>
          <w:rFonts w:hint="eastAsia" w:ascii="仿宋_GB2312" w:hAnsi="仿宋_GB2312" w:eastAsia="仿宋_GB2312" w:cs="仿宋_GB2312"/>
          <w:color w:val="auto"/>
          <w:sz w:val="32"/>
          <w:szCs w:val="32"/>
          <w:lang w:val="en-US" w:eastAsia="zh-CN"/>
        </w:rPr>
        <w:t>775.24</w:t>
      </w:r>
      <w:r>
        <w:rPr>
          <w:rFonts w:hint="eastAsia" w:ascii="仿宋_GB2312" w:hAnsi="仿宋_GB2312" w:eastAsia="仿宋_GB2312" w:cs="仿宋_GB2312"/>
          <w:color w:val="auto"/>
          <w:sz w:val="32"/>
          <w:szCs w:val="32"/>
        </w:rPr>
        <w:t>万元，累计折旧</w:t>
      </w:r>
      <w:r>
        <w:rPr>
          <w:rFonts w:hint="eastAsia" w:ascii="仿宋_GB2312" w:hAnsi="仿宋_GB2312" w:eastAsia="仿宋_GB2312" w:cs="仿宋_GB2312"/>
          <w:color w:val="auto"/>
          <w:sz w:val="32"/>
          <w:szCs w:val="32"/>
          <w:lang w:val="en-US" w:eastAsia="zh-CN"/>
        </w:rPr>
        <w:t>556.74</w:t>
      </w:r>
      <w:r>
        <w:rPr>
          <w:rFonts w:hint="eastAsia" w:ascii="仿宋_GB2312" w:hAnsi="仿宋_GB2312" w:eastAsia="仿宋_GB2312" w:cs="仿宋_GB2312"/>
          <w:color w:val="auto"/>
          <w:sz w:val="32"/>
          <w:szCs w:val="32"/>
        </w:rPr>
        <w:t>万元，净值</w:t>
      </w:r>
      <w:r>
        <w:rPr>
          <w:rFonts w:hint="eastAsia" w:ascii="仿宋_GB2312" w:hAnsi="仿宋_GB2312" w:eastAsia="仿宋_GB2312" w:cs="仿宋_GB2312"/>
          <w:color w:val="auto"/>
          <w:sz w:val="32"/>
          <w:szCs w:val="32"/>
          <w:lang w:val="en-US" w:eastAsia="zh-CN"/>
        </w:rPr>
        <w:t>218.50</w:t>
      </w:r>
      <w:r>
        <w:rPr>
          <w:rFonts w:hint="eastAsia" w:ascii="仿宋_GB2312" w:hAnsi="仿宋_GB2312" w:eastAsia="仿宋_GB2312" w:cs="仿宋_GB2312"/>
          <w:color w:val="auto"/>
          <w:sz w:val="32"/>
          <w:szCs w:val="32"/>
        </w:rPr>
        <w:t>万元，其中：土地、房屋及构筑物</w:t>
      </w:r>
      <w:r>
        <w:rPr>
          <w:rFonts w:hint="eastAsia" w:ascii="仿宋_GB2312" w:hAnsi="仿宋_GB2312" w:eastAsia="仿宋_GB2312" w:cs="仿宋_GB2312"/>
          <w:color w:val="auto"/>
          <w:sz w:val="32"/>
          <w:szCs w:val="32"/>
          <w:lang w:val="en-US" w:eastAsia="zh-CN"/>
        </w:rPr>
        <w:t>369.01</w:t>
      </w:r>
      <w:r>
        <w:rPr>
          <w:rFonts w:hint="eastAsia" w:ascii="仿宋_GB2312" w:hAnsi="仿宋_GB2312" w:eastAsia="仿宋_GB2312" w:cs="仿宋_GB2312"/>
          <w:color w:val="auto"/>
          <w:sz w:val="32"/>
          <w:szCs w:val="32"/>
        </w:rPr>
        <w:t>万元，占固定资产的</w:t>
      </w:r>
      <w:r>
        <w:rPr>
          <w:rFonts w:hint="eastAsia" w:ascii="仿宋_GB2312" w:hAnsi="仿宋_GB2312" w:eastAsia="仿宋_GB2312" w:cs="仿宋_GB2312"/>
          <w:color w:val="auto"/>
          <w:sz w:val="32"/>
          <w:szCs w:val="32"/>
          <w:lang w:val="en-US" w:eastAsia="zh-CN"/>
        </w:rPr>
        <w:t>47.60</w:t>
      </w:r>
      <w:r>
        <w:rPr>
          <w:rFonts w:hint="eastAsia" w:ascii="仿宋_GB2312" w:hAnsi="仿宋_GB2312" w:eastAsia="仿宋_GB2312" w:cs="仿宋_GB2312"/>
          <w:color w:val="auto"/>
          <w:sz w:val="32"/>
          <w:szCs w:val="32"/>
        </w:rPr>
        <w:t>%；通用设备</w:t>
      </w:r>
      <w:r>
        <w:rPr>
          <w:rFonts w:hint="eastAsia" w:ascii="仿宋_GB2312" w:hAnsi="仿宋_GB2312" w:eastAsia="仿宋_GB2312" w:cs="仿宋_GB2312"/>
          <w:color w:val="auto"/>
          <w:sz w:val="32"/>
          <w:szCs w:val="32"/>
          <w:lang w:val="en-US" w:eastAsia="zh-CN"/>
        </w:rPr>
        <w:t>296.16</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38.20</w:t>
      </w:r>
      <w:r>
        <w:rPr>
          <w:rFonts w:hint="eastAsia" w:ascii="仿宋_GB2312" w:hAnsi="仿宋_GB2312" w:eastAsia="仿宋_GB2312" w:cs="仿宋_GB2312"/>
          <w:color w:val="auto"/>
          <w:sz w:val="32"/>
          <w:szCs w:val="32"/>
        </w:rPr>
        <w:t>%；专用设备</w:t>
      </w:r>
      <w:r>
        <w:rPr>
          <w:rFonts w:hint="eastAsia" w:ascii="仿宋_GB2312" w:hAnsi="仿宋_GB2312" w:eastAsia="仿宋_GB2312" w:cs="仿宋_GB2312"/>
          <w:color w:val="auto"/>
          <w:sz w:val="32"/>
          <w:szCs w:val="32"/>
          <w:lang w:val="en-US" w:eastAsia="zh-CN"/>
        </w:rPr>
        <w:t>26.22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3.38</w:t>
      </w:r>
      <w:r>
        <w:rPr>
          <w:rFonts w:hint="eastAsia" w:ascii="仿宋_GB2312" w:hAnsi="仿宋_GB2312" w:eastAsia="仿宋_GB2312" w:cs="仿宋_GB2312"/>
          <w:color w:val="auto"/>
          <w:sz w:val="32"/>
          <w:szCs w:val="32"/>
        </w:rPr>
        <w:t>%；家具、用具、装具及动植物</w:t>
      </w:r>
      <w:r>
        <w:rPr>
          <w:rFonts w:hint="eastAsia" w:ascii="仿宋_GB2312" w:hAnsi="仿宋_GB2312" w:eastAsia="仿宋_GB2312" w:cs="仿宋_GB2312"/>
          <w:color w:val="auto"/>
          <w:sz w:val="32"/>
          <w:szCs w:val="32"/>
          <w:lang w:val="en-US" w:eastAsia="zh-CN"/>
        </w:rPr>
        <w:t>83.85</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10.82</w:t>
      </w:r>
      <w:r>
        <w:rPr>
          <w:rFonts w:hint="eastAsia" w:ascii="仿宋_GB2312" w:hAnsi="仿宋_GB2312" w:eastAsia="仿宋_GB2312" w:cs="仿宋_GB2312"/>
          <w:color w:val="auto"/>
          <w:sz w:val="32"/>
          <w:szCs w:val="32"/>
        </w:rPr>
        <w:t>%。</w:t>
      </w:r>
    </w:p>
    <w:p>
      <w:pPr>
        <w:pStyle w:val="2"/>
        <w:spacing w:line="600" w:lineRule="exact"/>
        <w:ind w:firstLine="640" w:firstLineChars="200"/>
        <w:jc w:val="left"/>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二、部门资金基本情况</w:t>
      </w:r>
    </w:p>
    <w:p>
      <w:pPr>
        <w:pStyle w:val="2"/>
        <w:spacing w:line="600" w:lineRule="exact"/>
        <w:ind w:firstLine="640" w:firstLineChars="200"/>
        <w:jc w:val="left"/>
        <w:rPr>
          <w:rFonts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（一）年初部门预算安排及支出情况（分类表述）</w:t>
      </w:r>
    </w:p>
    <w:p>
      <w:pPr>
        <w:pStyle w:val="2"/>
        <w:spacing w:line="6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1.基本支出安排及使用情况</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2021年度基本支出年初部门预算924.37万元。其中:</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2080505——机关事业单位基本养老保险缴费支出60.58万元；</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2082801——行政运行266.65万元；</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2082850——事业运行250.65万元；</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2210201——住房公积金62.94万元；</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2080502——事业单位离退休支出42.24万元；</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2082805——部队供应89.91万元；</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2080903-军队移交政府离退休干部管理机构1</w:t>
      </w:r>
      <w:r>
        <w:rPr>
          <w:rFonts w:hint="eastAsia" w:ascii="仿宋_GB2312" w:hAnsi="仿宋_GB2312" w:eastAsia="仿宋_GB2312" w:cs="仿宋_GB2312"/>
          <w:color w:val="auto"/>
          <w:sz w:val="32"/>
          <w:szCs w:val="32"/>
          <w:lang w:val="en-US" w:eastAsia="zh-CN"/>
        </w:rPr>
        <w:t>51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2021年度基本支出执行数917.89万元。其中：</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2080505——机关事业单位基本养老保险缴费支出58.68万元；</w:t>
      </w:r>
    </w:p>
    <w:p>
      <w:pPr>
        <w:pStyle w:val="2"/>
        <w:spacing w:line="600" w:lineRule="exact"/>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2082801——行政运行266.65万元；</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2210201——住房公积金62.94万元；</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2082850——事业运行250.65万元；</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2080502——事业单位离退休支出40.06万元；</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2082805——部队供应89.91万元；</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2080903——军队移交政府离退休干部管理机构149.00万元；</w:t>
      </w:r>
    </w:p>
    <w:p>
      <w:pPr>
        <w:pStyle w:val="2"/>
        <w:numPr>
          <w:ilvl w:val="0"/>
          <w:numId w:val="0"/>
        </w:numPr>
        <w:spacing w:line="600" w:lineRule="exact"/>
        <w:jc w:val="left"/>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部门预算项目安排及支出情况</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2021年度项目支出年初部门预算121.00万元。其中：</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2082802——一般行政管理事务68.00万元：公务车购置和业务运行费；</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2082804——拥军优属30.00万元：双拥走访慰问；</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2082899——其他退役军人管理事务支出10.00万元：咨询服务大厅业务运行费；</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2082805——部队供应10.00万元：过往部队接待及伙食补贴；</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2080903-军队移交政府离退休干部管理机构3.00万元：走访慰问。</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2021年度项目支出执行数106.67万元。其中：</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2082802——一般行政管理事务64.73万元：公务车购置和业务运行支出；</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2082804——拥军优属19.86万元：走访慰问支出；</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 w:eastAsia="仿宋_GB2312"/>
          <w:color w:val="auto"/>
          <w:sz w:val="32"/>
          <w:szCs w:val="32"/>
        </w:rPr>
        <w:t>2082899</w:t>
      </w:r>
      <w:r>
        <w:rPr>
          <w:rFonts w:hint="eastAsia" w:ascii="仿宋_GB2312" w:hAnsi="仿宋_GB2312" w:eastAsia="仿宋_GB2312" w:cs="仿宋_GB2312"/>
          <w:color w:val="auto"/>
          <w:sz w:val="32"/>
          <w:szCs w:val="32"/>
        </w:rPr>
        <w:t>——</w:t>
      </w:r>
      <w:r>
        <w:rPr>
          <w:rFonts w:hint="eastAsia" w:ascii="仿宋_GB2312" w:hAnsi="仿宋" w:eastAsia="仿宋_GB2312"/>
          <w:color w:val="auto"/>
          <w:sz w:val="32"/>
          <w:szCs w:val="32"/>
        </w:rPr>
        <w:t>其他退役军人管理事务支出10</w:t>
      </w:r>
      <w:r>
        <w:rPr>
          <w:rFonts w:hint="eastAsia" w:ascii="仿宋_GB2312" w:hAnsi="仿宋" w:eastAsia="仿宋_GB2312"/>
          <w:color w:val="auto"/>
          <w:sz w:val="32"/>
          <w:szCs w:val="32"/>
          <w:lang w:val="en-US" w:eastAsia="zh-CN"/>
        </w:rPr>
        <w:t>.00</w:t>
      </w:r>
      <w:r>
        <w:rPr>
          <w:rFonts w:ascii="仿宋_GB2312" w:hAnsi="仿宋" w:eastAsia="仿宋_GB2312"/>
          <w:color w:val="auto"/>
          <w:sz w:val="32"/>
          <w:szCs w:val="32"/>
        </w:rPr>
        <w:t>万元</w:t>
      </w:r>
      <w:r>
        <w:rPr>
          <w:rFonts w:hint="eastAsia" w:ascii="仿宋_GB2312" w:hAnsi="仿宋"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咨询服务大厅业务运行费；</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2082805——部队供应9.08万元</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为过往部队供应提供保障；</w:t>
      </w:r>
    </w:p>
    <w:p>
      <w:pPr>
        <w:pStyle w:val="2"/>
        <w:numPr>
          <w:ilvl w:val="0"/>
          <w:numId w:val="0"/>
        </w:numPr>
        <w:spacing w:line="600" w:lineRule="exact"/>
        <w:ind w:firstLine="64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2080903-军队移交政府离退休干部管理机构3.00万元：走访慰问支出。</w:t>
      </w:r>
    </w:p>
    <w:p>
      <w:pPr>
        <w:pStyle w:val="2"/>
        <w:numPr>
          <w:ilvl w:val="0"/>
          <w:numId w:val="1"/>
        </w:numPr>
        <w:spacing w:line="600" w:lineRule="exact"/>
        <w:ind w:firstLine="640" w:firstLineChars="200"/>
        <w:jc w:val="left"/>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追加预算安排及支出情况</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2021年度执行中追加预算3130.31万元，年初财政拨款结转结余调整320.02万元，财政拨款支出3,450.33万元。</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2080502——事业单位离退休支出8.82万元：支付退休人员生活补助费用；</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2080801-死亡抚恤7.81万元：去世退休人员丧葬抚恤支出；</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2080902-军队移交政府的离退休人员安置529.04万元：军休干部及其遗属经费支出。</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2080903-军队移交政府离退休干部管理机构35.82万元：机构运行；</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2080905——军队转业干部安置2,537.67万元:军队转业干部安置和军转干部行政管理支出；</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2080999——其他退役安置支出55.65万元：部分退役士兵社保接续、随军随队配偶自谋职业一次性经济补助及未就业期间生活补助、退役军人服务保障体系建设相关工作支出、军休所建设项目;</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2081001——儿童福利0.19万元：关心下一代工作支出；</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2082801——行政运行22.11万元：人员及公用经费；</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2082802——一般行政管理事务22.40万元：武警攀枝花支队军史文化长廊改造支出；</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2082804——拥军优属0.70万元：“暖心行动”走访慰问活动支出；</w:t>
      </w:r>
    </w:p>
    <w:p>
      <w:pPr>
        <w:pStyle w:val="2"/>
        <w:numPr>
          <w:ilvl w:val="0"/>
          <w:numId w:val="0"/>
        </w:numPr>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2082805——部队供应101.05万元：支付单位在职人员工资和攀枝花军供南站附属设施建设改造；</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2082850——事业运行24.08万元：人员经费；</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2082899——其他退役军人事务管理支出99.73万元：军分区安保勤务人员劳务费及伙食支出；</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2089999——其他社会保障和就业支出1.14万元：部分退役士兵社保接续支出；</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2120802——土地开发支出4.12万元：向上争取资金工作、武警攀枝花支队军史文化长廊改造支出。</w:t>
      </w:r>
    </w:p>
    <w:p>
      <w:pPr>
        <w:pStyle w:val="2"/>
        <w:numPr>
          <w:ilvl w:val="0"/>
          <w:numId w:val="1"/>
        </w:numPr>
        <w:spacing w:line="600" w:lineRule="exact"/>
        <w:ind w:left="0" w:leftChars="0" w:firstLine="640" w:firstLineChars="200"/>
        <w:jc w:val="left"/>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专项资金安排及支出情况</w:t>
      </w:r>
    </w:p>
    <w:p>
      <w:pPr>
        <w:pStyle w:val="2"/>
        <w:spacing w:line="600" w:lineRule="exact"/>
        <w:ind w:firstLine="640" w:firstLineChars="200"/>
        <w:jc w:val="left"/>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2021年度专项资金安排2</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924.93万元，执行数2</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924.93万元。</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2080905——军队转业干部安置2,537.67万元：军队转业干部安置和军转干部行政管理支出；</w:t>
      </w:r>
    </w:p>
    <w:p>
      <w:pPr>
        <w:pStyle w:val="2"/>
        <w:spacing w:line="600" w:lineRule="exact"/>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2081001——儿童福利0.19万元：关心下一代工作支出;</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2082802——一般行政管理事务87.13万元：业务运行、公务用车购置、武警攀枝花支队军史文化长廊改造支出；</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2082804——拥军优属20.56万元：优抚对象和部队官兵慰问费和“暖心行动”走访慰问活动支出；</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2082899——其他退役军人事务管理支出109.73万元：军分区安保勤务人员劳务费及伙食支出、咨询服务大厅业务运行费；</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2089999——其他社会保障和就业支出1.14万元：部分退役士兵社保接续支出；</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2120802——土地开发支出4.12万元：向上争取资金工作、武警攀枝花支队军史文化长廊改造支出。</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2082899——其他退役军人管理事务支出10.00万元：咨询服务大厅业务运行费。</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2082805——部队供应105.74万元，主要用于攀枝花军供南站附属设施建设改造使用。</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2080903—军队移交政府离退休干部管理机构3.00万元：走访慰问支出。</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2080999-其他退役安置支出55.65万元：部分退役士兵社保接续、随军随队配偶自谋职业一次性经济补助及未就业期间生活补助、退役军人服务保障体系建设相关工作支出、军休所建设项目。</w:t>
      </w:r>
    </w:p>
    <w:p>
      <w:pPr>
        <w:pStyle w:val="2"/>
        <w:spacing w:line="600" w:lineRule="exact"/>
        <w:ind w:firstLine="640" w:firstLineChars="200"/>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其他资金收支及结转结余使用情况</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1.2021年非财政拨款收入27.08万元，其中：</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2082802——一般行政管理事务4.87万元：课题费及党建经费；</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2080905——军队转业干部安置0.64万元：自主择业军转干部培训经费；</w:t>
      </w:r>
    </w:p>
    <w:p>
      <w:pPr>
        <w:pStyle w:val="2"/>
        <w:spacing w:line="600" w:lineRule="exact"/>
        <w:ind w:firstLine="640" w:firstLineChars="200"/>
        <w:jc w:val="left"/>
        <w:rPr>
          <w:rFonts w:hint="default"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2082902——军队移交政府的离退休人员安置21.57万元。</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2.2021年非财政拨款支出22.03万元，其中:</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2082802——一般行政管理事务0.46万元：党建经费；</w:t>
      </w:r>
    </w:p>
    <w:p>
      <w:pPr>
        <w:pStyle w:val="2"/>
        <w:spacing w:line="600" w:lineRule="exact"/>
        <w:ind w:firstLine="640" w:firstLineChars="200"/>
        <w:jc w:val="left"/>
        <w:rPr>
          <w:rFonts w:hint="default"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2082902——军队移交政府的离退休人员安置21.57万元。</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lang w:val="en-US" w:eastAsia="zh-CN"/>
        </w:rPr>
        <w:t>3.2021年末其他资金结转结余11.51万元。其中：</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2080899——其他优抚支出3.37万元：伤残人员慰问费;</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2080905——军队转业干部安置1.47万元：自主择业军队转业干部培训经费;</w:t>
      </w:r>
    </w:p>
    <w:p>
      <w:pPr>
        <w:pStyle w:val="2"/>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2082802——一般行政管理事务6.67万元：课题经费及党建经费；</w:t>
      </w:r>
    </w:p>
    <w:p>
      <w:pPr>
        <w:pStyle w:val="2"/>
        <w:numPr>
          <w:ilvl w:val="0"/>
          <w:numId w:val="1"/>
        </w:numPr>
        <w:spacing w:line="600" w:lineRule="exact"/>
        <w:ind w:left="0" w:leftChars="0" w:firstLine="640" w:firstLineChars="200"/>
        <w:jc w:val="left"/>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其他需要说明的情况（如无特别说明的情况则无需阐述）</w:t>
      </w:r>
    </w:p>
    <w:p>
      <w:pPr>
        <w:pStyle w:val="2"/>
        <w:numPr>
          <w:ilvl w:val="0"/>
          <w:numId w:val="0"/>
        </w:numPr>
        <w:spacing w:line="600" w:lineRule="exact"/>
        <w:ind w:firstLine="640"/>
        <w:jc w:val="left"/>
        <w:rPr>
          <w:rFonts w:hint="eastAsia"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无。</w:t>
      </w:r>
    </w:p>
    <w:p>
      <w:pPr>
        <w:pStyle w:val="2"/>
        <w:spacing w:line="600" w:lineRule="exact"/>
        <w:ind w:firstLine="640" w:firstLineChars="200"/>
        <w:jc w:val="left"/>
        <w:rPr>
          <w:rFonts w:ascii="Times New Roman" w:hAnsi="Times New Roman" w:eastAsia="楷体" w:cs="Times New Roman"/>
          <w:color w:val="auto"/>
          <w:sz w:val="32"/>
          <w:szCs w:val="32"/>
        </w:rPr>
      </w:pPr>
      <w:r>
        <w:rPr>
          <w:rFonts w:hint="default" w:ascii="Times New Roman" w:hAnsi="Times New Roman" w:eastAsia="黑体" w:cs="Times New Roman"/>
          <w:color w:val="auto"/>
          <w:sz w:val="32"/>
          <w:szCs w:val="32"/>
        </w:rPr>
        <w:t>三、绩效目标完成情况分析</w:t>
      </w:r>
    </w:p>
    <w:p>
      <w:pPr>
        <w:pStyle w:val="2"/>
        <w:spacing w:line="600" w:lineRule="exact"/>
        <w:ind w:firstLine="640" w:firstLineChars="200"/>
        <w:jc w:val="left"/>
        <w:rPr>
          <w:rFonts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（一）市级财政资金绩效目标完成情况</w:t>
      </w:r>
    </w:p>
    <w:p>
      <w:pPr>
        <w:pStyle w:val="2"/>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1.年初部门预算绩效目标完成情况</w:t>
      </w:r>
    </w:p>
    <w:p>
      <w:pPr>
        <w:pStyle w:val="2"/>
        <w:spacing w:line="600" w:lineRule="exact"/>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（1）产出指标完成情况分析。数量指标：</w:t>
      </w:r>
      <w:r>
        <w:rPr>
          <w:rFonts w:hint="eastAsia" w:ascii="仿宋_GB2312" w:hAnsi="仿宋_GB2312" w:eastAsia="仿宋_GB2312" w:cs="仿宋_GB2312"/>
          <w:color w:val="auto"/>
          <w:sz w:val="32"/>
          <w:szCs w:val="32"/>
          <w:lang w:eastAsia="zh-CN"/>
        </w:rPr>
        <w:t>退役军人事务部门</w:t>
      </w:r>
      <w:r>
        <w:rPr>
          <w:rFonts w:hint="eastAsia" w:ascii="仿宋_GB2312" w:hAnsi="仿宋_GB2312" w:eastAsia="仿宋_GB2312" w:cs="仿宋_GB2312"/>
          <w:color w:val="auto"/>
          <w:sz w:val="32"/>
          <w:szCs w:val="32"/>
        </w:rPr>
        <w:t>干部职工</w:t>
      </w:r>
      <w:r>
        <w:rPr>
          <w:rFonts w:hint="eastAsia" w:ascii="仿宋_GB2312" w:hAnsi="仿宋_GB2312" w:eastAsia="仿宋_GB2312" w:cs="仿宋_GB2312"/>
          <w:color w:val="auto"/>
          <w:sz w:val="32"/>
          <w:szCs w:val="32"/>
          <w:lang w:val="en-US" w:eastAsia="zh-CN"/>
        </w:rPr>
        <w:t>49</w:t>
      </w:r>
      <w:r>
        <w:rPr>
          <w:rFonts w:hint="eastAsia" w:ascii="仿宋_GB2312" w:hAnsi="仿宋_GB2312" w:eastAsia="仿宋_GB2312" w:cs="仿宋_GB2312"/>
          <w:color w:val="auto"/>
          <w:sz w:val="32"/>
          <w:szCs w:val="32"/>
        </w:rPr>
        <w:t>人，实施项目数量</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个。质量指标：</w:t>
      </w:r>
      <w:r>
        <w:rPr>
          <w:rFonts w:hint="eastAsia" w:ascii="仿宋_GB2312" w:hAnsi="仿宋_GB2312" w:eastAsia="仿宋_GB2312" w:cs="仿宋_GB2312"/>
          <w:color w:val="auto"/>
          <w:sz w:val="32"/>
          <w:szCs w:val="32"/>
          <w:lang w:eastAsia="zh-CN"/>
        </w:rPr>
        <w:t>保障机关</w:t>
      </w:r>
      <w:r>
        <w:rPr>
          <w:rFonts w:hint="eastAsia" w:ascii="仿宋_GB2312" w:hAnsi="仿宋_GB2312" w:eastAsia="仿宋_GB2312" w:cs="仿宋_GB2312"/>
          <w:color w:val="auto"/>
          <w:sz w:val="32"/>
          <w:szCs w:val="32"/>
        </w:rPr>
        <w:t>日常</w:t>
      </w:r>
      <w:r>
        <w:rPr>
          <w:rFonts w:hint="eastAsia" w:ascii="仿宋_GB2312" w:hAnsi="仿宋_GB2312" w:eastAsia="仿宋_GB2312" w:cs="仿宋_GB2312"/>
          <w:color w:val="auto"/>
          <w:sz w:val="32"/>
          <w:szCs w:val="32"/>
          <w:lang w:eastAsia="zh-CN"/>
        </w:rPr>
        <w:t>及业务</w:t>
      </w:r>
      <w:r>
        <w:rPr>
          <w:rFonts w:hint="eastAsia" w:ascii="仿宋_GB2312" w:hAnsi="仿宋_GB2312" w:eastAsia="仿宋_GB2312" w:cs="仿宋_GB2312"/>
          <w:color w:val="auto"/>
          <w:sz w:val="32"/>
          <w:szCs w:val="32"/>
        </w:rPr>
        <w:t>工作正常开展。时效指标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2021年完成</w:t>
      </w:r>
      <w:r>
        <w:rPr>
          <w:rFonts w:hint="eastAsia" w:ascii="仿宋_GB2312" w:hAnsi="仿宋_GB2312" w:eastAsia="仿宋_GB2312" w:cs="仿宋_GB2312"/>
          <w:color w:val="auto"/>
          <w:sz w:val="32"/>
          <w:szCs w:val="32"/>
        </w:rPr>
        <w:t>。成本指标：</w:t>
      </w:r>
      <w:r>
        <w:rPr>
          <w:rFonts w:hint="eastAsia" w:ascii="仿宋_GB2312" w:hAnsi="仿宋_GB2312" w:eastAsia="仿宋_GB2312" w:cs="仿宋_GB2312"/>
          <w:color w:val="auto"/>
          <w:sz w:val="32"/>
          <w:szCs w:val="32"/>
          <w:lang w:eastAsia="zh-CN"/>
        </w:rPr>
        <w:t>基本支出</w:t>
      </w:r>
      <w:r>
        <w:rPr>
          <w:rFonts w:hint="eastAsia" w:ascii="仿宋_GB2312" w:hAnsi="仿宋_GB2312" w:eastAsia="仿宋_GB2312" w:cs="仿宋_GB2312"/>
          <w:color w:val="auto"/>
          <w:sz w:val="32"/>
          <w:szCs w:val="32"/>
          <w:lang w:val="en-US" w:eastAsia="zh-CN"/>
        </w:rPr>
        <w:t>1,571.53万元，项目支出2,925.39万元,预算执行率100%</w:t>
      </w:r>
    </w:p>
    <w:p>
      <w:pPr>
        <w:pStyle w:val="2"/>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（2）效益指标完成情况分析。通过开展退役军人服务保障工作, 进一步提高了受助人员生活水平，增强了退役军人的荣誉感和获得感，年底目标任务完成。</w:t>
      </w:r>
    </w:p>
    <w:p>
      <w:pPr>
        <w:pStyle w:val="2"/>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（3）满意度指标完成情况分析。服务对象满意度达到基本满意及以上，年底目标任务完成。</w:t>
      </w:r>
    </w:p>
    <w:p>
      <w:pPr>
        <w:pStyle w:val="2"/>
        <w:spacing w:line="600" w:lineRule="exact"/>
        <w:ind w:firstLine="640" w:firstLineChars="200"/>
        <w:jc w:val="left"/>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.市级专项（</w:t>
      </w:r>
      <w:r>
        <w:rPr>
          <w:rFonts w:hint="default" w:ascii="Times New Roman" w:hAnsi="Times New Roman" w:eastAsia="仿宋_GB2312" w:cs="Times New Roman"/>
          <w:color w:val="auto"/>
          <w:sz w:val="32"/>
          <w:szCs w:val="32"/>
        </w:rPr>
        <w:t>项目</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资金绩效目标完成情况</w:t>
      </w:r>
    </w:p>
    <w:p>
      <w:pPr>
        <w:pStyle w:val="2"/>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产出指标完成情况分析。数量指标</w:t>
      </w:r>
      <w:r>
        <w:rPr>
          <w:rFonts w:hint="eastAsia" w:ascii="仿宋_GB2312" w:hAnsi="仿宋_GB2312" w:eastAsia="仿宋_GB2312" w:cs="仿宋_GB2312"/>
          <w:color w:val="auto"/>
          <w:sz w:val="32"/>
          <w:szCs w:val="32"/>
          <w:lang w:eastAsia="zh-CN"/>
        </w:rPr>
        <w:t>：实施项目数量</w:t>
      </w:r>
      <w:r>
        <w:rPr>
          <w:rFonts w:hint="eastAsia" w:ascii="仿宋_GB2312" w:hAnsi="仿宋_GB2312" w:eastAsia="仿宋_GB2312" w:cs="仿宋_GB2312"/>
          <w:color w:val="auto"/>
          <w:sz w:val="32"/>
          <w:szCs w:val="32"/>
          <w:lang w:val="en-US" w:eastAsia="zh-CN"/>
        </w:rPr>
        <w:t>20个。</w:t>
      </w:r>
      <w:r>
        <w:rPr>
          <w:rFonts w:hint="default" w:ascii="仿宋_GB2312" w:hAnsi="仿宋_GB2312" w:eastAsia="仿宋_GB2312" w:cs="仿宋_GB2312"/>
          <w:color w:val="auto"/>
          <w:sz w:val="32"/>
          <w:szCs w:val="32"/>
        </w:rPr>
        <w:t>质量指标</w:t>
      </w:r>
      <w:r>
        <w:rPr>
          <w:rFonts w:hint="eastAsia" w:ascii="仿宋_GB2312" w:hAnsi="仿宋_GB2312" w:eastAsia="仿宋_GB2312" w:cs="仿宋_GB2312"/>
          <w:color w:val="auto"/>
          <w:sz w:val="32"/>
          <w:szCs w:val="32"/>
          <w:lang w:eastAsia="zh-CN"/>
        </w:rPr>
        <w:t>：资金使用合规率</w:t>
      </w:r>
      <w:r>
        <w:rPr>
          <w:rFonts w:hint="eastAsia" w:ascii="仿宋_GB2312" w:hAnsi="仿宋_GB2312" w:eastAsia="仿宋_GB2312" w:cs="仿宋_GB2312"/>
          <w:color w:val="auto"/>
          <w:sz w:val="32"/>
          <w:szCs w:val="32"/>
          <w:lang w:val="en-US" w:eastAsia="zh-CN"/>
        </w:rPr>
        <w:t>100%。</w:t>
      </w:r>
      <w:r>
        <w:rPr>
          <w:rFonts w:hint="default" w:ascii="仿宋_GB2312" w:hAnsi="仿宋_GB2312" w:eastAsia="仿宋_GB2312" w:cs="仿宋_GB2312"/>
          <w:color w:val="auto"/>
          <w:sz w:val="32"/>
          <w:szCs w:val="32"/>
        </w:rPr>
        <w:t>时效指标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2021年完成。</w:t>
      </w:r>
      <w:r>
        <w:rPr>
          <w:rFonts w:hint="default" w:ascii="仿宋_GB2312" w:hAnsi="仿宋_GB2312" w:eastAsia="仿宋_GB2312" w:cs="仿宋_GB2312"/>
          <w:color w:val="auto"/>
          <w:sz w:val="32"/>
          <w:szCs w:val="32"/>
        </w:rPr>
        <w:t>成本指标</w:t>
      </w:r>
      <w:r>
        <w:rPr>
          <w:rFonts w:hint="eastAsia" w:ascii="仿宋_GB2312" w:hAnsi="仿宋_GB2312" w:eastAsia="仿宋_GB2312" w:cs="仿宋_GB2312"/>
          <w:color w:val="auto"/>
          <w:sz w:val="32"/>
          <w:szCs w:val="32"/>
          <w:lang w:eastAsia="zh-CN"/>
        </w:rPr>
        <w:t>：服务保障体系建设</w:t>
      </w:r>
      <w:r>
        <w:rPr>
          <w:rFonts w:hint="eastAsia" w:ascii="仿宋_GB2312" w:hAnsi="仿宋_GB2312" w:eastAsia="仿宋_GB2312" w:cs="仿宋_GB2312"/>
          <w:color w:val="auto"/>
          <w:sz w:val="32"/>
          <w:szCs w:val="32"/>
          <w:lang w:val="en-US" w:eastAsia="zh-CN"/>
        </w:rPr>
        <w:t>7.33万元、随军随队配偶经济及生活补助7.39万元、关心下一代工作经费0.19万元、党建经费0.46万元、业务运行经费14.80万元、武警攀枝花支队军史文化长廊改造23.60万元、公务车购置49.93万元、慰问经费19.86万元、军分区安保勤务人员经费99.73万元、工作经费2.92万元、军休所建设项目35.34万元、光荣院优抚专项支出3.00万元、军供站维修改造50.18万元、火车站南站军供站分站建设46.50万元、过往部队接待及伙食补贴9.08万元、咨询服务大厅业务运行费10.00万元等</w:t>
      </w:r>
      <w:r>
        <w:rPr>
          <w:rFonts w:hint="default" w:ascii="仿宋_GB2312" w:hAnsi="仿宋_GB2312" w:eastAsia="仿宋_GB2312" w:cs="仿宋_GB2312"/>
          <w:color w:val="auto"/>
          <w:sz w:val="32"/>
          <w:szCs w:val="32"/>
        </w:rPr>
        <w:t>。</w:t>
      </w:r>
    </w:p>
    <w:p>
      <w:pPr>
        <w:pStyle w:val="2"/>
        <w:spacing w:line="60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效益指标完成情况分析。社会效益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通过开展</w:t>
      </w:r>
      <w:r>
        <w:rPr>
          <w:rFonts w:hint="eastAsia" w:ascii="仿宋_GB2312" w:hAnsi="仿宋_GB2312" w:eastAsia="仿宋_GB2312" w:cs="仿宋_GB2312"/>
          <w:color w:val="auto"/>
          <w:sz w:val="32"/>
          <w:szCs w:val="32"/>
          <w:lang w:eastAsia="zh-CN"/>
        </w:rPr>
        <w:t>双拥、过往部队保障、</w:t>
      </w:r>
      <w:r>
        <w:rPr>
          <w:rFonts w:hint="eastAsia" w:ascii="仿宋_GB2312" w:hAnsi="仿宋_GB2312" w:eastAsia="仿宋_GB2312" w:cs="仿宋_GB2312"/>
          <w:color w:val="auto"/>
          <w:sz w:val="32"/>
          <w:szCs w:val="32"/>
        </w:rPr>
        <w:t>退役军人</w:t>
      </w:r>
      <w:r>
        <w:rPr>
          <w:rFonts w:hint="eastAsia" w:ascii="仿宋_GB2312" w:hAnsi="仿宋_GB2312" w:eastAsia="仿宋_GB2312" w:cs="仿宋_GB2312"/>
          <w:color w:val="auto"/>
          <w:sz w:val="32"/>
          <w:szCs w:val="32"/>
          <w:lang w:eastAsia="zh-CN"/>
        </w:rPr>
        <w:t>服务等工作</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在社会上营造出浓厚双拥氛围，</w:t>
      </w:r>
      <w:r>
        <w:rPr>
          <w:rFonts w:hint="eastAsia" w:ascii="仿宋_GB2312" w:hAnsi="仿宋_GB2312" w:eastAsia="仿宋_GB2312" w:cs="仿宋_GB2312"/>
          <w:color w:val="auto"/>
          <w:sz w:val="32"/>
          <w:szCs w:val="32"/>
        </w:rPr>
        <w:t>增强了退役军人的荣誉感和获得感加强了军民团结，推进了军民融合深度发展，年底目标任务完成</w:t>
      </w:r>
    </w:p>
    <w:p>
      <w:pPr>
        <w:pStyle w:val="2"/>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满意度指标完成情况分析。</w:t>
      </w:r>
      <w:r>
        <w:rPr>
          <w:rFonts w:hint="eastAsia" w:ascii="仿宋_GB2312" w:hAnsi="仿宋_GB2312" w:eastAsia="仿宋_GB2312" w:cs="仿宋_GB2312"/>
          <w:color w:val="auto"/>
          <w:sz w:val="32"/>
          <w:szCs w:val="32"/>
        </w:rPr>
        <w:t>服务对象满意度达到基本满意及以上，年底目标任务完成。</w:t>
      </w:r>
    </w:p>
    <w:p>
      <w:pPr>
        <w:pStyle w:val="2"/>
        <w:spacing w:line="600" w:lineRule="exact"/>
        <w:ind w:firstLine="640" w:firstLineChars="200"/>
        <w:jc w:val="left"/>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（二）上级专项（项目）资金绩效目标完成情况</w:t>
      </w:r>
    </w:p>
    <w:p>
      <w:pPr>
        <w:pStyle w:val="2"/>
        <w:spacing w:line="600" w:lineRule="exact"/>
        <w:ind w:firstLine="640" w:firstLineChars="200"/>
        <w:jc w:val="left"/>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rPr>
        <w:t>（1）产出指标完成情况分析。数量指标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6个。</w:t>
      </w:r>
      <w:r>
        <w:rPr>
          <w:rFonts w:hint="default" w:ascii="仿宋_GB2312" w:hAnsi="仿宋_GB2312" w:eastAsia="仿宋_GB2312" w:cs="仿宋_GB2312"/>
          <w:color w:val="auto"/>
          <w:sz w:val="32"/>
          <w:szCs w:val="32"/>
        </w:rPr>
        <w:t>质量指标</w:t>
      </w:r>
      <w:r>
        <w:rPr>
          <w:rFonts w:hint="eastAsia" w:ascii="仿宋_GB2312" w:hAnsi="仿宋_GB2312" w:eastAsia="仿宋_GB2312" w:cs="仿宋_GB2312"/>
          <w:color w:val="auto"/>
          <w:sz w:val="32"/>
          <w:szCs w:val="32"/>
          <w:lang w:eastAsia="zh-CN"/>
        </w:rPr>
        <w:t>：资金使用合规率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时效指标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2021年完成。成本指标：退役安置、拥军优属1,375.37万元、军队移交政府的离退休人员安置和军队移交政府离退休干部管理机构546.45万元。</w:t>
      </w:r>
    </w:p>
    <w:p>
      <w:pPr>
        <w:pStyle w:val="2"/>
        <w:spacing w:line="60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效益指标完成情况分析。社会效益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通过开展</w:t>
      </w:r>
      <w:r>
        <w:rPr>
          <w:rFonts w:hint="eastAsia" w:ascii="仿宋_GB2312" w:hAnsi="仿宋_GB2312" w:eastAsia="仿宋_GB2312" w:cs="仿宋_GB2312"/>
          <w:color w:val="auto"/>
          <w:sz w:val="32"/>
          <w:szCs w:val="32"/>
          <w:lang w:eastAsia="zh-CN"/>
        </w:rPr>
        <w:t>双拥及</w:t>
      </w:r>
      <w:r>
        <w:rPr>
          <w:rFonts w:hint="eastAsia" w:ascii="仿宋_GB2312" w:hAnsi="仿宋_GB2312" w:eastAsia="仿宋_GB2312" w:cs="仿宋_GB2312"/>
          <w:color w:val="auto"/>
          <w:sz w:val="32"/>
          <w:szCs w:val="32"/>
        </w:rPr>
        <w:t>退役军人</w:t>
      </w:r>
      <w:r>
        <w:rPr>
          <w:rFonts w:hint="eastAsia" w:ascii="仿宋_GB2312" w:hAnsi="仿宋_GB2312" w:eastAsia="仿宋_GB2312" w:cs="仿宋_GB2312"/>
          <w:color w:val="auto"/>
          <w:sz w:val="32"/>
          <w:szCs w:val="32"/>
          <w:lang w:eastAsia="zh-CN"/>
        </w:rPr>
        <w:t>服务保障工作</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在社会上营造出浓厚双拥氛围，</w:t>
      </w:r>
      <w:r>
        <w:rPr>
          <w:rFonts w:hint="eastAsia" w:ascii="仿宋_GB2312" w:hAnsi="仿宋_GB2312" w:eastAsia="仿宋_GB2312" w:cs="仿宋_GB2312"/>
          <w:color w:val="auto"/>
          <w:sz w:val="32"/>
          <w:szCs w:val="32"/>
        </w:rPr>
        <w:t>增强了退役军人的荣誉感和获得感，年底目标任务完成。</w:t>
      </w:r>
    </w:p>
    <w:p>
      <w:pPr>
        <w:pStyle w:val="2"/>
        <w:spacing w:line="600" w:lineRule="exact"/>
        <w:ind w:firstLine="640" w:firstLineChars="200"/>
        <w:jc w:val="left"/>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满意度指标完成情况分析。</w:t>
      </w:r>
      <w:r>
        <w:rPr>
          <w:rFonts w:hint="eastAsia" w:ascii="仿宋_GB2312" w:hAnsi="仿宋_GB2312" w:eastAsia="仿宋_GB2312" w:cs="仿宋_GB2312"/>
          <w:color w:val="auto"/>
          <w:sz w:val="32"/>
          <w:szCs w:val="32"/>
        </w:rPr>
        <w:t>服务对象满意度达到基本满意，目标任务完成。</w:t>
      </w:r>
    </w:p>
    <w:p>
      <w:pPr>
        <w:pStyle w:val="2"/>
        <w:spacing w:line="600" w:lineRule="exact"/>
        <w:ind w:firstLine="640" w:firstLineChars="200"/>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（三）其他需要说明的情况（如无特别说明的情况则无需阐述）</w:t>
      </w:r>
    </w:p>
    <w:p>
      <w:pPr>
        <w:pStyle w:val="2"/>
        <w:spacing w:line="60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w:t>
      </w:r>
    </w:p>
    <w:p>
      <w:pPr>
        <w:pStyle w:val="2"/>
        <w:numPr>
          <w:ilvl w:val="0"/>
          <w:numId w:val="2"/>
        </w:numPr>
        <w:spacing w:line="600" w:lineRule="exact"/>
        <w:ind w:firstLine="640" w:firstLineChars="200"/>
        <w:jc w:val="left"/>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自评结论</w:t>
      </w:r>
    </w:p>
    <w:p>
      <w:pPr>
        <w:pStyle w:val="2"/>
        <w:numPr>
          <w:ilvl w:val="0"/>
          <w:numId w:val="0"/>
        </w:num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结合实际情况，客观公正地根据预算部门整体支出管理绩效项目进行综合评价，部门整体支出绩效总体较好。对财政资金的使用能够严格按照行政单位会计制度及财政相关规定执行。2021年，全市退役军人事务系统深入学习贯彻习近平总书记关于退役军人工作重要论述和重要回信精神，聚焦“迈大步、上台阶、出实效”目标，开拓进取、砥砺前行，顺利实现“十四五”期间退役军人工作良好开局。退役军人服务保障体系建设、安置就业、优抚褒扬、权益维护及党建引领等各项工作得到服务对象的充分肯定和广泛好评。</w:t>
      </w:r>
    </w:p>
    <w:p>
      <w:pPr>
        <w:pStyle w:val="2"/>
        <w:spacing w:line="600"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四、偏离绩效目标的原因和下一步改进措施</w:t>
      </w:r>
    </w:p>
    <w:p>
      <w:pPr>
        <w:pStyle w:val="2"/>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由于项目资金分阶段实施，导致部分项目资金未执行完成。</w:t>
      </w:r>
    </w:p>
    <w:p>
      <w:pPr>
        <w:pStyle w:val="2"/>
        <w:spacing w:line="600" w:lineRule="exact"/>
        <w:ind w:firstLine="640" w:firstLineChars="200"/>
        <w:jc w:val="left"/>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一步改进措施：一是继续加强指导和培训力度，加强对各部门申报项目的指导，使项目编制更加符合绩效评价相关要求；二是加强预算执行管理，定期汇总资金使用情况，项目资金使用进度，通报预算执行进度，切实提高财政资金使用效率和效益。三是，根据项目实施进度，及时支付相关资金。</w:t>
      </w:r>
    </w:p>
    <w:p>
      <w:pPr>
        <w:pStyle w:val="2"/>
        <w:numPr>
          <w:ilvl w:val="0"/>
          <w:numId w:val="3"/>
        </w:numPr>
        <w:spacing w:line="600"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绩效自评结果拟应用和公开公示情况</w:t>
      </w:r>
    </w:p>
    <w:p>
      <w:pPr>
        <w:pStyle w:val="2"/>
        <w:spacing w:line="600" w:lineRule="exact"/>
        <w:ind w:firstLine="640" w:firstLineChars="200"/>
        <w:jc w:val="left"/>
        <w:rPr>
          <w:rFonts w:hint="eastAsia" w:ascii="仿宋_GB2312" w:hAnsi="仿宋_GB2312" w:eastAsia="仿宋_GB2312" w:cs="仿宋_GB2312"/>
          <w:color w:val="auto"/>
          <w:sz w:val="32"/>
          <w:szCs w:val="32"/>
        </w:rPr>
      </w:pPr>
      <w:r>
        <w:rPr>
          <w:rFonts w:hint="eastAsia" w:ascii="Times New Roman" w:hAnsi="Times New Roman" w:eastAsia="黑体"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本年度自评结果</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为下一年度预算安排和编制提供参考，促进资金管理规范化和科学化。</w:t>
      </w:r>
    </w:p>
    <w:p>
      <w:pPr>
        <w:pStyle w:val="2"/>
        <w:spacing w:line="60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根据财政的要求在门户网站公开本自评报告，接受社会大众监督</w:t>
      </w:r>
      <w:r>
        <w:rPr>
          <w:rFonts w:hint="eastAsia" w:ascii="仿宋_GB2312" w:hAnsi="仿宋_GB2312" w:eastAsia="仿宋_GB2312" w:cs="仿宋_GB2312"/>
          <w:color w:val="auto"/>
          <w:sz w:val="32"/>
          <w:szCs w:val="32"/>
          <w:lang w:eastAsia="zh-CN"/>
        </w:rPr>
        <w:t>。</w:t>
      </w:r>
    </w:p>
    <w:p>
      <w:pPr>
        <w:pStyle w:val="2"/>
        <w:spacing w:line="600" w:lineRule="exact"/>
        <w:ind w:firstLine="640" w:firstLineChars="200"/>
        <w:jc w:val="left"/>
        <w:rPr>
          <w:rFonts w:hint="default" w:ascii="Times New Roman" w:hAnsi="Times New Roman" w:eastAsia="黑体" w:cs="Times New Roman"/>
          <w:color w:val="auto"/>
          <w:sz w:val="32"/>
          <w:szCs w:val="32"/>
          <w:lang w:val="en-US" w:eastAsia="zh-CN"/>
        </w:rPr>
      </w:pPr>
    </w:p>
    <w:p>
      <w:pPr>
        <w:rPr>
          <w:color w:val="auto"/>
        </w:rPr>
      </w:pPr>
    </w:p>
    <w:sectPr>
      <w:pgSz w:w="12240" w:h="15840"/>
      <w:pgMar w:top="1440" w:right="1463" w:bottom="1440" w:left="146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F824E"/>
    <w:multiLevelType w:val="singleLevel"/>
    <w:tmpl w:val="FF3F824E"/>
    <w:lvl w:ilvl="0" w:tentative="0">
      <w:start w:val="2"/>
      <w:numFmt w:val="chineseCounting"/>
      <w:suff w:val="nothing"/>
      <w:lvlText w:val="（%1）"/>
      <w:lvlJc w:val="left"/>
      <w:rPr>
        <w:rFonts w:hint="eastAsia"/>
      </w:rPr>
    </w:lvl>
  </w:abstractNum>
  <w:abstractNum w:abstractNumId="1">
    <w:nsid w:val="50194CE6"/>
    <w:multiLevelType w:val="singleLevel"/>
    <w:tmpl w:val="50194CE6"/>
    <w:lvl w:ilvl="0" w:tentative="0">
      <w:start w:val="5"/>
      <w:numFmt w:val="chineseCounting"/>
      <w:suff w:val="nothing"/>
      <w:lvlText w:val="%1、"/>
      <w:lvlJc w:val="left"/>
      <w:rPr>
        <w:rFonts w:hint="eastAsia"/>
      </w:rPr>
    </w:lvl>
  </w:abstractNum>
  <w:abstractNum w:abstractNumId="2">
    <w:nsid w:val="6C8CE71F"/>
    <w:multiLevelType w:val="singleLevel"/>
    <w:tmpl w:val="6C8CE71F"/>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A760F"/>
    <w:rsid w:val="0B0601E0"/>
    <w:rsid w:val="0EF41DD5"/>
    <w:rsid w:val="0FE4575B"/>
    <w:rsid w:val="11EC443B"/>
    <w:rsid w:val="12BD2A04"/>
    <w:rsid w:val="15391B08"/>
    <w:rsid w:val="1DA6394F"/>
    <w:rsid w:val="1F3474D7"/>
    <w:rsid w:val="1FD7D502"/>
    <w:rsid w:val="26E49D6D"/>
    <w:rsid w:val="3995412E"/>
    <w:rsid w:val="406458BA"/>
    <w:rsid w:val="4BBFDAA9"/>
    <w:rsid w:val="50DB4830"/>
    <w:rsid w:val="5A5A1A13"/>
    <w:rsid w:val="5B9E5CF2"/>
    <w:rsid w:val="5D110A68"/>
    <w:rsid w:val="66B1456C"/>
    <w:rsid w:val="66F66F44"/>
    <w:rsid w:val="69F99661"/>
    <w:rsid w:val="6E051374"/>
    <w:rsid w:val="736F0154"/>
    <w:rsid w:val="772E2406"/>
    <w:rsid w:val="77777C82"/>
    <w:rsid w:val="7F715751"/>
    <w:rsid w:val="7FDF63D3"/>
    <w:rsid w:val="7FFF414E"/>
    <w:rsid w:val="8699C7F0"/>
    <w:rsid w:val="95F95AB0"/>
    <w:rsid w:val="BBCB3DA7"/>
    <w:rsid w:val="BFB91F21"/>
    <w:rsid w:val="BFFE8D63"/>
    <w:rsid w:val="E5ECB19C"/>
    <w:rsid w:val="EBFF1DA8"/>
    <w:rsid w:val="F5B72024"/>
    <w:rsid w:val="F7DF4F9A"/>
    <w:rsid w:val="FBFBFE29"/>
    <w:rsid w:val="FC6E43DA"/>
    <w:rsid w:val="FC7F9928"/>
    <w:rsid w:val="FDFED016"/>
    <w:rsid w:val="FFF2D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2022-04-02T03:28:00Z</dcterms:created>
  <dc:creator>dell</dc:creator>
  <cp:lastModifiedBy>user</cp:lastModifiedBy>
  <dcterms:modified xsi:type="dcterms:W3CDTF">2022-04-08T15:01:53Z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KSOSaveFontToCloudKey">
    <vt:lpwstr>315633308_embed</vt:lpwstr>
  </property>
</Properties>
</file>