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8441"/>
      <w:bookmarkStart w:id="4" w:name="_Toc15377193"/>
      <w:bookmarkStart w:id="5" w:name="_Toc15396597"/>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77426"/>
      <w:bookmarkStart w:id="8" w:name="_Toc15396476"/>
      <w:bookmarkStart w:id="9" w:name="_Toc15377194"/>
      <w:bookmarkStart w:id="10" w:name="_Toc15396598"/>
      <w:r>
        <w:rPr>
          <w:rFonts w:hint="eastAsia" w:ascii="方正小标宋简体" w:hAnsi="方正小标宋简体" w:eastAsia="方正小标宋简体" w:cs="方正小标宋简体"/>
          <w:sz w:val="72"/>
          <w:szCs w:val="72"/>
        </w:rPr>
        <w:t>攀枝花市</w:t>
      </w:r>
      <w:bookmarkEnd w:id="0"/>
      <w:bookmarkStart w:id="11" w:name="_Toc15306268"/>
      <w:r>
        <w:rPr>
          <w:rFonts w:hint="eastAsia" w:ascii="方正小标宋简体" w:hAnsi="方正小标宋简体" w:eastAsia="方正小标宋简体" w:cs="方正小标宋简体"/>
          <w:sz w:val="72"/>
          <w:szCs w:val="72"/>
        </w:rPr>
        <w:t>军供站单位决算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公开时间：2023年9月</w:t>
      </w:r>
      <w:r>
        <w:rPr>
          <w:rFonts w:hint="eastAsia"/>
          <w:lang w:val="en-US" w:eastAsia="zh-CN"/>
        </w:rPr>
        <w:t>5</w:t>
      </w:r>
      <w:bookmarkStart w:id="69" w:name="_GoBack"/>
      <w:bookmarkEnd w:id="69"/>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rPr>
        <w:t>4</w:t>
      </w:r>
    </w:p>
    <w:p>
      <w:pPr>
        <w:pStyle w:val="11"/>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pPr>
        <w:pStyle w:val="11"/>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4</w:t>
      </w:r>
    </w:p>
    <w:p>
      <w:pPr>
        <w:pStyle w:val="10"/>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szCs w:val="24"/>
        </w:rPr>
        <w:tab/>
      </w:r>
      <w:r>
        <w:rPr>
          <w:rFonts w:hint="eastAsia" w:cstheme="minorBidi"/>
          <w:sz w:val="24"/>
          <w:szCs w:val="24"/>
        </w:rPr>
        <w:t>5</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5</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5</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6</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7</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8</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10</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10</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12</w:t>
      </w:r>
    </w:p>
    <w:p>
      <w:pPr>
        <w:pStyle w:val="11"/>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hint="eastAsia" w:cstheme="minorBidi"/>
          <w:sz w:val="24"/>
        </w:rPr>
        <w:t>12</w:t>
      </w:r>
    </w:p>
    <w:p>
      <w:pPr>
        <w:pStyle w:val="11"/>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cstheme="minorBidi"/>
          <w:sz w:val="24"/>
        </w:rPr>
        <w:t>13</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cstheme="minorBidi"/>
          <w:sz w:val="24"/>
          <w:szCs w:val="24"/>
        </w:rPr>
        <w:t>14</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cstheme="minorBidi"/>
          <w:sz w:val="24"/>
          <w:szCs w:val="24"/>
        </w:rPr>
        <w:tab/>
      </w:r>
      <w:r>
        <w:rPr>
          <w:rFonts w:hint="eastAsia" w:cstheme="minorBidi"/>
          <w:sz w:val="24"/>
          <w:szCs w:val="24"/>
        </w:rPr>
        <w:t>16</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cstheme="minorBidi"/>
          <w:sz w:val="24"/>
          <w:szCs w:val="24"/>
        </w:rPr>
        <w:tab/>
      </w:r>
      <w:r>
        <w:rPr>
          <w:rFonts w:hint="eastAsia" w:cstheme="minorBidi"/>
          <w:sz w:val="24"/>
          <w:szCs w:val="24"/>
        </w:rPr>
        <w:t>17</w:t>
      </w:r>
    </w:p>
    <w:p>
      <w:pPr>
        <w:pStyle w:val="11"/>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17</w:t>
      </w:r>
    </w:p>
    <w:p>
      <w:pPr>
        <w:pStyle w:val="11"/>
        <w:adjustRightInd w:val="0"/>
        <w:snapToGrid w:val="0"/>
        <w:spacing w:line="440" w:lineRule="exact"/>
        <w:jc w:val="left"/>
        <w:rPr>
          <w:sz w:val="24"/>
        </w:rPr>
      </w:pPr>
      <w:r>
        <w:rPr>
          <w:rFonts w:hint="eastAsia"/>
          <w:sz w:val="24"/>
        </w:rPr>
        <w:t>十三、财政拨款“三公”经费支出决算表</w:t>
      </w:r>
      <w:r>
        <w:rPr>
          <w:rFonts w:cstheme="minorBidi"/>
          <w:sz w:val="24"/>
        </w:rPr>
        <w:tab/>
      </w:r>
      <w:r>
        <w:rPr>
          <w:rFonts w:hint="eastAsia" w:cstheme="minorBidi"/>
          <w:sz w:val="24"/>
        </w:rPr>
        <w:t>17</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spacing w:line="560" w:lineRule="exact"/>
        <w:jc w:val="left"/>
        <w:rPr>
          <w:rFonts w:ascii="黑体" w:eastAsia="黑体"/>
          <w:sz w:val="32"/>
          <w:szCs w:val="32"/>
        </w:rPr>
      </w:pPr>
    </w:p>
    <w:p>
      <w:pPr>
        <w:pStyle w:val="4"/>
        <w:numPr>
          <w:ilvl w:val="0"/>
          <w:numId w:val="1"/>
        </w:numPr>
        <w:spacing w:line="560" w:lineRule="exact"/>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主要职责</w:t>
      </w:r>
    </w:p>
    <w:p>
      <w:pPr>
        <w:spacing w:line="600" w:lineRule="exact"/>
        <w:ind w:firstLine="640"/>
        <w:rPr>
          <w:rFonts w:ascii="仿宋" w:hAnsi="仿宋" w:eastAsia="仿宋"/>
          <w:sz w:val="32"/>
          <w:szCs w:val="32"/>
        </w:rPr>
      </w:pPr>
      <w:r>
        <w:rPr>
          <w:rFonts w:hint="eastAsia" w:ascii="仿宋" w:hAnsi="仿宋" w:eastAsia="仿宋"/>
          <w:sz w:val="32"/>
          <w:szCs w:val="32"/>
        </w:rPr>
        <w:t>攀枝花市军供站</w:t>
      </w:r>
      <w:r>
        <w:rPr>
          <w:rFonts w:ascii="仿宋" w:hAnsi="仿宋" w:eastAsia="仿宋"/>
          <w:sz w:val="32"/>
          <w:szCs w:val="32"/>
        </w:rPr>
        <w:t>的</w:t>
      </w:r>
      <w:r>
        <w:rPr>
          <w:rFonts w:hint="eastAsia" w:ascii="仿宋" w:hAnsi="仿宋" w:eastAsia="仿宋"/>
          <w:sz w:val="32"/>
          <w:szCs w:val="32"/>
        </w:rPr>
        <w:t>主要职责</w:t>
      </w:r>
      <w:r>
        <w:rPr>
          <w:rFonts w:ascii="仿宋" w:hAnsi="仿宋" w:eastAsia="仿宋"/>
          <w:sz w:val="32"/>
          <w:szCs w:val="32"/>
        </w:rPr>
        <w:t>是保障成批过往的部队、入伍的新兵、退伍的老兵和支前民兵、民工等在运输途中的饮食饮水的供应以及军运马匹的草料和饮水的供应。</w:t>
      </w:r>
    </w:p>
    <w:p>
      <w:pPr>
        <w:pStyle w:val="4"/>
        <w:spacing w:line="560" w:lineRule="exact"/>
        <w:rPr>
          <w:rFonts w:ascii="黑体" w:hAnsi="黑体" w:eastAsia="黑体"/>
          <w:b w:val="0"/>
        </w:rPr>
      </w:pPr>
      <w:r>
        <w:rPr>
          <w:rFonts w:hint="eastAsia" w:ascii="黑体" w:hAnsi="黑体" w:eastAsia="黑体"/>
          <w:b w:val="0"/>
        </w:rPr>
        <w:t>二、机构设置</w:t>
      </w:r>
    </w:p>
    <w:p>
      <w:pPr>
        <w:spacing w:line="600" w:lineRule="exact"/>
        <w:ind w:firstLine="640"/>
        <w:rPr>
          <w:rFonts w:ascii="仿宋" w:hAnsi="仿宋" w:eastAsia="仿宋"/>
          <w:sz w:val="32"/>
          <w:szCs w:val="32"/>
        </w:rPr>
      </w:pPr>
      <w:r>
        <w:rPr>
          <w:rFonts w:hint="eastAsia" w:ascii="仿宋" w:hAnsi="仿宋" w:eastAsia="仿宋"/>
          <w:sz w:val="32"/>
          <w:szCs w:val="32"/>
        </w:rPr>
        <w:t>攀枝花市军供站为攀枝花市退役军人事务局下属全额拨款公益一类事业单位，机构编制数8个，其中管理岗位4个，专业技术岗位3个，工勤技能岗位1个。年末在编人员4人，编内聘用人员1人，实际在职人员5人。退休人员7人。</w:t>
      </w:r>
    </w:p>
    <w:bookmarkEnd w:id="14"/>
    <w:bookmarkEnd w:id="15"/>
    <w:p>
      <w:pPr>
        <w:widowControl/>
        <w:spacing w:line="560" w:lineRule="exact"/>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Pr>
        <w:spacing w:line="560" w:lineRule="exact"/>
      </w:pPr>
    </w:p>
    <w:p>
      <w:pPr>
        <w:pStyle w:val="23"/>
        <w:numPr>
          <w:ilvl w:val="0"/>
          <w:numId w:val="2"/>
        </w:numPr>
        <w:spacing w:line="56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rPr>
          <w:rFonts w:ascii="仿宋" w:hAnsi="仿宋" w:eastAsia="仿宋"/>
          <w:sz w:val="32"/>
          <w:szCs w:val="32"/>
        </w:rPr>
      </w:pPr>
      <w:r>
        <w:rPr>
          <w:rFonts w:hint="eastAsia" w:ascii="仿宋" w:hAnsi="仿宋" w:eastAsia="仿宋"/>
          <w:sz w:val="32"/>
          <w:szCs w:val="32"/>
        </w:rPr>
        <w:t>2022年度收、支总计279.88万元。与2021年相比，收入减少42.87万元，下降24.14</w:t>
      </w:r>
      <w:r>
        <w:rPr>
          <w:rFonts w:ascii="仿宋" w:hAnsi="仿宋" w:eastAsia="仿宋"/>
          <w:sz w:val="32"/>
          <w:szCs w:val="32"/>
        </w:rPr>
        <w:t>%</w:t>
      </w:r>
      <w:r>
        <w:rPr>
          <w:rFonts w:hint="eastAsia" w:ascii="仿宋" w:hAnsi="仿宋" w:eastAsia="仿宋"/>
          <w:sz w:val="32"/>
          <w:szCs w:val="32"/>
        </w:rPr>
        <w:t>、支出减少82.58万元，下降36.25</w:t>
      </w:r>
      <w:r>
        <w:rPr>
          <w:rFonts w:ascii="仿宋" w:hAnsi="仿宋" w:eastAsia="仿宋"/>
          <w:sz w:val="32"/>
          <w:szCs w:val="32"/>
        </w:rPr>
        <w:t>%</w:t>
      </w:r>
      <w:r>
        <w:rPr>
          <w:rFonts w:hint="eastAsia" w:ascii="仿宋" w:hAnsi="仿宋" w:eastAsia="仿宋"/>
          <w:sz w:val="32"/>
          <w:szCs w:val="32"/>
        </w:rPr>
        <w:t>。主要变动原因是项目经费支出减少,2021年项目经费主要用于支付攀枝花军供南站附属设施修建项目费用，相对2022年支付项目金额减少。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pPr>
      <w:r>
        <w:rPr>
          <w:rFonts w:hint="eastAsia"/>
          <w:sz w:val="32"/>
          <w:szCs w:val="32"/>
        </w:rPr>
        <w:drawing>
          <wp:inline distT="0" distB="0" distL="0" distR="0">
            <wp:extent cx="5274310" cy="307721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5274310" cy="3077470"/>
                    </a:xfrm>
                    <a:prstGeom prst="rect">
                      <a:avLst/>
                    </a:prstGeom>
                    <a:noFill/>
                    <a:ln w="9525">
                      <a:noFill/>
                      <a:miter lim="800000"/>
                      <a:headEnd/>
                      <a:tailEnd/>
                    </a:ln>
                  </pic:spPr>
                </pic:pic>
              </a:graphicData>
            </a:graphic>
          </wp:inline>
        </w:drawing>
      </w:r>
    </w:p>
    <w:p>
      <w:pPr>
        <w:pStyle w:val="23"/>
        <w:numPr>
          <w:ilvl w:val="0"/>
          <w:numId w:val="2"/>
        </w:numPr>
        <w:spacing w:line="56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22年本年收入合计134.70万元，其中：一般公共预算财政拨款收入134.70万元，占100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2"/>
        <w:spacing w:before="93"/>
      </w:pPr>
      <w:r>
        <w:rPr>
          <w:rFonts w:hint="eastAsia"/>
          <w:sz w:val="32"/>
          <w:szCs w:val="32"/>
        </w:rPr>
        <w:drawing>
          <wp:inline distT="0" distB="0" distL="0" distR="0">
            <wp:extent cx="5274310" cy="3058160"/>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7"/>
                    <a:srcRect/>
                    <a:stretch>
                      <a:fillRect/>
                    </a:stretch>
                  </pic:blipFill>
                  <pic:spPr>
                    <a:xfrm>
                      <a:off x="0" y="0"/>
                      <a:ext cx="5274310" cy="3058532"/>
                    </a:xfrm>
                    <a:prstGeom prst="rect">
                      <a:avLst/>
                    </a:prstGeom>
                    <a:noFill/>
                    <a:ln w="9525">
                      <a:noFill/>
                      <a:miter lim="800000"/>
                      <a:headEnd/>
                      <a:tailEnd/>
                    </a:ln>
                  </pic:spPr>
                </pic:pic>
              </a:graphicData>
            </a:graphic>
          </wp:inline>
        </w:drawing>
      </w:r>
    </w:p>
    <w:p>
      <w:pPr>
        <w:pStyle w:val="23"/>
        <w:numPr>
          <w:ilvl w:val="0"/>
          <w:numId w:val="2"/>
        </w:numPr>
        <w:spacing w:line="56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22年本年支出合计145.18万元，其中：基本支出117.47万元，占80.91</w:t>
      </w:r>
      <w:r>
        <w:rPr>
          <w:rFonts w:ascii="仿宋" w:hAnsi="仿宋" w:eastAsia="仿宋"/>
          <w:sz w:val="32"/>
          <w:szCs w:val="32"/>
        </w:rPr>
        <w:t>%</w:t>
      </w:r>
      <w:r>
        <w:rPr>
          <w:rFonts w:hint="eastAsia" w:ascii="仿宋" w:hAnsi="仿宋" w:eastAsia="仿宋"/>
          <w:sz w:val="32"/>
          <w:szCs w:val="32"/>
        </w:rPr>
        <w:t>；项目支出27.71万元，占19.09</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spacing w:before="93"/>
      </w:pPr>
      <w:r>
        <w:rPr>
          <w:rFonts w:hint="eastAsia"/>
        </w:rPr>
        <w:drawing>
          <wp:inline distT="0" distB="0" distL="0" distR="0">
            <wp:extent cx="5274310" cy="3084195"/>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srcRect/>
                    <a:stretch>
                      <a:fillRect/>
                    </a:stretch>
                  </pic:blipFill>
                  <pic:spPr>
                    <a:xfrm>
                      <a:off x="0" y="0"/>
                      <a:ext cx="5274310" cy="3084615"/>
                    </a:xfrm>
                    <a:prstGeom prst="rect">
                      <a:avLst/>
                    </a:prstGeom>
                    <a:noFill/>
                    <a:ln w="9525">
                      <a:noFill/>
                      <a:miter lim="800000"/>
                      <a:headEnd/>
                      <a:tailEnd/>
                    </a:ln>
                  </pic:spPr>
                </pic:pic>
              </a:graphicData>
            </a:graphic>
          </wp:inline>
        </w:drawing>
      </w:r>
    </w:p>
    <w:p>
      <w:pPr>
        <w:spacing w:line="56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22年财政拨款收、支总计279.88万元。与</w:t>
      </w:r>
      <w:r>
        <w:rPr>
          <w:rFonts w:ascii="仿宋" w:hAnsi="仿宋" w:eastAsia="仿宋"/>
          <w:sz w:val="32"/>
          <w:szCs w:val="32"/>
        </w:rPr>
        <w:t>20</w:t>
      </w:r>
      <w:r>
        <w:rPr>
          <w:rFonts w:hint="eastAsia" w:ascii="仿宋" w:hAnsi="仿宋" w:eastAsia="仿宋"/>
          <w:sz w:val="32"/>
          <w:szCs w:val="32"/>
        </w:rPr>
        <w:t>21年相比，财政拨款收入减少42.87万元，下降24.14</w:t>
      </w:r>
      <w:r>
        <w:rPr>
          <w:rFonts w:ascii="仿宋" w:hAnsi="仿宋" w:eastAsia="仿宋"/>
          <w:sz w:val="32"/>
          <w:szCs w:val="32"/>
        </w:rPr>
        <w:t>%</w:t>
      </w:r>
      <w:r>
        <w:rPr>
          <w:rFonts w:hint="eastAsia" w:ascii="仿宋" w:hAnsi="仿宋" w:eastAsia="仿宋"/>
          <w:sz w:val="32"/>
          <w:szCs w:val="32"/>
        </w:rPr>
        <w:t>、财政拨款支出减少82.58万元，下降36.25</w:t>
      </w:r>
      <w:r>
        <w:rPr>
          <w:rFonts w:ascii="仿宋" w:hAnsi="仿宋" w:eastAsia="仿宋"/>
          <w:sz w:val="32"/>
          <w:szCs w:val="32"/>
        </w:rPr>
        <w:t>%</w:t>
      </w:r>
      <w:r>
        <w:rPr>
          <w:rFonts w:hint="eastAsia" w:ascii="仿宋" w:hAnsi="仿宋" w:eastAsia="仿宋"/>
          <w:sz w:val="32"/>
          <w:szCs w:val="32"/>
        </w:rPr>
        <w:t>。主要变动原因是项目经费支出减少,2021年项目经费主要用于支付攀枝花军供南站附属设施修建项目费用，相对2022年支付项目金额减少。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bookmarkStart w:id="26" w:name="_Toc15396607"/>
      <w:bookmarkStart w:id="27" w:name="_Toc15377209"/>
    </w:p>
    <w:p>
      <w:pPr>
        <w:spacing w:line="560" w:lineRule="exact"/>
        <w:jc w:val="center"/>
        <w:outlineLvl w:val="1"/>
        <w:rPr>
          <w:rFonts w:ascii="黑体" w:hAnsi="黑体" w:eastAsia="黑体"/>
          <w:sz w:val="32"/>
          <w:szCs w:val="32"/>
        </w:rPr>
      </w:pPr>
      <w:r>
        <w:rPr>
          <w:rFonts w:hint="eastAsia" w:ascii="黑体" w:hAnsi="黑体" w:eastAsia="黑体"/>
          <w:sz w:val="32"/>
          <w:szCs w:val="32"/>
        </w:rPr>
        <w:drawing>
          <wp:anchor distT="0" distB="0" distL="114300" distR="114300" simplePos="0" relativeHeight="251659264" behindDoc="0" locked="0" layoutInCell="1" allowOverlap="1">
            <wp:simplePos x="0" y="0"/>
            <wp:positionH relativeFrom="column">
              <wp:posOffset>396240</wp:posOffset>
            </wp:positionH>
            <wp:positionV relativeFrom="paragraph">
              <wp:posOffset>199390</wp:posOffset>
            </wp:positionV>
            <wp:extent cx="5270500" cy="3093720"/>
            <wp:effectExtent l="19050" t="0" r="6350" b="0"/>
            <wp:wrapSquare wrapText="bothSides"/>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9"/>
                    <a:srcRect/>
                    <a:stretch>
                      <a:fillRect/>
                    </a:stretch>
                  </pic:blipFill>
                  <pic:spPr>
                    <a:xfrm>
                      <a:off x="0" y="0"/>
                      <a:ext cx="5270500" cy="3093720"/>
                    </a:xfrm>
                    <a:prstGeom prst="rect">
                      <a:avLst/>
                    </a:prstGeom>
                    <a:noFill/>
                    <a:ln w="9525">
                      <a:noFill/>
                      <a:miter lim="800000"/>
                      <a:headEnd/>
                      <a:tailEnd/>
                    </a:ln>
                  </pic:spPr>
                </pic:pic>
              </a:graphicData>
            </a:graphic>
          </wp:anchor>
        </w:drawing>
      </w:r>
    </w:p>
    <w:p>
      <w:pPr>
        <w:spacing w:line="560" w:lineRule="exact"/>
        <w:outlineLvl w:val="1"/>
        <w:rPr>
          <w:rFonts w:ascii="黑体" w:hAnsi="黑体" w:eastAsia="黑体"/>
          <w:sz w:val="32"/>
          <w:szCs w:val="32"/>
        </w:rPr>
      </w:pPr>
    </w:p>
    <w:p>
      <w:pPr>
        <w:pStyle w:val="2"/>
        <w:spacing w:before="93"/>
      </w:pPr>
    </w:p>
    <w:p>
      <w:pPr>
        <w:pStyle w:val="2"/>
        <w:spacing w:before="93"/>
      </w:pPr>
    </w:p>
    <w:p>
      <w:pPr>
        <w:pStyle w:val="2"/>
        <w:spacing w:before="93"/>
      </w:pPr>
    </w:p>
    <w:p>
      <w:pPr>
        <w:pStyle w:val="2"/>
        <w:spacing w:before="93"/>
      </w:pPr>
    </w:p>
    <w:p>
      <w:pPr>
        <w:pStyle w:val="2"/>
        <w:spacing w:before="93"/>
      </w:pPr>
    </w:p>
    <w:p>
      <w:pPr>
        <w:spacing w:line="560" w:lineRule="exact"/>
        <w:ind w:firstLine="640" w:firstLineChars="200"/>
        <w:outlineLvl w:val="1"/>
        <w:rPr>
          <w:rStyle w:val="25"/>
          <w:rFonts w:ascii="黑体" w:hAnsi="黑体" w:eastAsia="黑体" w:cs="Times New Roman"/>
          <w:b w:val="0"/>
          <w:bCs w:val="0"/>
        </w:rPr>
      </w:pPr>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56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22年一般公共预算财政拨款支出145.18万元，占本年支出合计的100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21年相比，一般公共预算财政拨款支出减少82.58万元，下降36.25</w:t>
      </w:r>
      <w:r>
        <w:rPr>
          <w:rFonts w:ascii="仿宋" w:hAnsi="仿宋" w:eastAsia="仿宋"/>
          <w:sz w:val="32"/>
          <w:szCs w:val="32"/>
        </w:rPr>
        <w:t>%</w:t>
      </w:r>
      <w:r>
        <w:rPr>
          <w:rFonts w:hint="eastAsia" w:ascii="仿宋" w:hAnsi="仿宋" w:eastAsia="仿宋"/>
          <w:sz w:val="32"/>
          <w:szCs w:val="32"/>
        </w:rPr>
        <w:t>。主要变动原因是项目经费支出减少,2021年项目经费主要用于支付攀枝花军供南站附属设施修建项目费用，相对2022年支付项目金额减少。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spacing w:before="93"/>
      </w:pPr>
      <w:r>
        <w:rPr>
          <w:rFonts w:hint="eastAsia"/>
        </w:rPr>
        <w:drawing>
          <wp:inline distT="0" distB="0" distL="0" distR="0">
            <wp:extent cx="5274310" cy="3078480"/>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srcRect/>
                    <a:stretch>
                      <a:fillRect/>
                    </a:stretch>
                  </pic:blipFill>
                  <pic:spPr>
                    <a:xfrm>
                      <a:off x="0" y="0"/>
                      <a:ext cx="5274310" cy="3079057"/>
                    </a:xfrm>
                    <a:prstGeom prst="rect">
                      <a:avLst/>
                    </a:prstGeom>
                    <a:noFill/>
                    <a:ln w="9525">
                      <a:noFill/>
                      <a:miter lim="800000"/>
                      <a:headEnd/>
                      <a:tailEnd/>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22年一般公共预算财政拨款支出145.18万元，主要用于以下方面</w:t>
      </w:r>
      <w:r>
        <w:rPr>
          <w:rFonts w:ascii="仿宋" w:hAnsi="仿宋" w:eastAsia="仿宋"/>
          <w:sz w:val="32"/>
          <w:szCs w:val="32"/>
        </w:rPr>
        <w:t>:</w:t>
      </w:r>
      <w:r>
        <w:rPr>
          <w:rFonts w:hint="eastAsia" w:ascii="仿宋" w:hAnsi="仿宋" w:eastAsia="仿宋"/>
          <w:sz w:val="32"/>
          <w:szCs w:val="32"/>
        </w:rPr>
        <w:t xml:space="preserve"> 社会保障和就业（类）支出137.20万元，占95</w:t>
      </w:r>
      <w:r>
        <w:rPr>
          <w:rFonts w:ascii="仿宋" w:hAnsi="仿宋" w:eastAsia="仿宋"/>
          <w:sz w:val="32"/>
          <w:szCs w:val="32"/>
        </w:rPr>
        <w:t>%</w:t>
      </w:r>
      <w:r>
        <w:rPr>
          <w:rFonts w:hint="eastAsia" w:ascii="仿宋" w:hAnsi="仿宋" w:eastAsia="仿宋"/>
          <w:sz w:val="32"/>
          <w:szCs w:val="32"/>
        </w:rPr>
        <w:t>；住房保障支出7.98万元，占5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pPr>
      <w:r>
        <w:rPr>
          <w:rFonts w:hint="eastAsia"/>
        </w:rPr>
        <w:drawing>
          <wp:inline distT="0" distB="0" distL="0" distR="0">
            <wp:extent cx="5274310" cy="3092450"/>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srcRect/>
                    <a:stretch>
                      <a:fillRect/>
                    </a:stretch>
                  </pic:blipFill>
                  <pic:spPr>
                    <a:xfrm>
                      <a:off x="0" y="0"/>
                      <a:ext cx="5274310" cy="3092491"/>
                    </a:xfrm>
                    <a:prstGeom prst="rect">
                      <a:avLst/>
                    </a:prstGeom>
                    <a:noFill/>
                    <a:ln w="9525">
                      <a:noFill/>
                      <a:miter lim="800000"/>
                      <a:headEnd/>
                      <a:tailEnd/>
                    </a:ln>
                  </pic:spPr>
                </pic:pic>
              </a:graphicData>
            </a:graphic>
          </wp:inline>
        </w:drawing>
      </w:r>
    </w:p>
    <w:p>
      <w:pPr>
        <w:spacing w:line="56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560" w:lineRule="exact"/>
        <w:ind w:firstLine="640"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sz w:val="32"/>
          <w:szCs w:val="32"/>
        </w:rPr>
        <w:t>2022年一般公共预算支出决算数为145.18，完成预算100</w:t>
      </w:r>
      <w:r>
        <w:rPr>
          <w:rFonts w:ascii="仿宋" w:hAnsi="仿宋" w:eastAsia="仿宋"/>
          <w:sz w:val="32"/>
          <w:szCs w:val="32"/>
        </w:rPr>
        <w:t>%</w:t>
      </w:r>
      <w:r>
        <w:rPr>
          <w:rFonts w:hint="eastAsia" w:ascii="仿宋" w:hAnsi="仿宋" w:eastAsia="仿宋"/>
          <w:sz w:val="32"/>
          <w:szCs w:val="32"/>
        </w:rPr>
        <w:t>。其中：</w:t>
      </w:r>
      <w:bookmarkEnd w:id="31"/>
      <w:bookmarkEnd w:id="32"/>
      <w:bookmarkEnd w:id="33"/>
    </w:p>
    <w:p>
      <w:pPr>
        <w:pStyle w:val="2"/>
        <w:adjustRightInd w:val="0"/>
        <w:snapToGrid w:val="0"/>
        <w:spacing w:before="93" w:line="560" w:lineRule="exact"/>
        <w:ind w:firstLine="672" w:firstLineChars="210"/>
        <w:outlineLvl w:val="2"/>
        <w:rPr>
          <w:rStyle w:val="14"/>
          <w:rFonts w:ascii="仿宋" w:hAnsi="仿宋" w:eastAsia="仿宋"/>
          <w:bCs/>
          <w:kern w:val="2"/>
          <w:sz w:val="32"/>
          <w:szCs w:val="32"/>
        </w:rPr>
      </w:pPr>
      <w:bookmarkStart w:id="34" w:name="_Toc82073718"/>
      <w:r>
        <w:rPr>
          <w:rStyle w:val="14"/>
          <w:rFonts w:ascii="仿宋" w:hAnsi="仿宋" w:eastAsia="仿宋"/>
          <w:b w:val="0"/>
          <w:bCs/>
          <w:sz w:val="32"/>
          <w:szCs w:val="32"/>
        </w:rPr>
        <w:t>1.</w:t>
      </w:r>
      <w:r>
        <w:rPr>
          <w:rStyle w:val="14"/>
          <w:rFonts w:hint="eastAsia" w:ascii="仿宋" w:hAnsi="仿宋" w:eastAsia="仿宋"/>
          <w:b w:val="0"/>
          <w:bCs/>
          <w:kern w:val="2"/>
          <w:sz w:val="32"/>
          <w:szCs w:val="32"/>
        </w:rPr>
        <w:t>社会保障和就业支出（类）行政事业单位养老支出（款）事业单位离退休（项）</w:t>
      </w:r>
      <w:r>
        <w:rPr>
          <w:rStyle w:val="14"/>
          <w:rFonts w:ascii="仿宋" w:hAnsi="仿宋" w:eastAsia="仿宋"/>
          <w:b w:val="0"/>
          <w:bCs/>
          <w:kern w:val="2"/>
          <w:sz w:val="32"/>
          <w:szCs w:val="32"/>
        </w:rPr>
        <w:t>:</w:t>
      </w:r>
      <w:r>
        <w:rPr>
          <w:rFonts w:hint="eastAsia" w:ascii="仿宋" w:hAnsi="仿宋" w:eastAsia="仿宋"/>
          <w:kern w:val="2"/>
          <w:sz w:val="32"/>
          <w:szCs w:val="32"/>
        </w:rPr>
        <w:t>支出决算为19.14万元，完成预算</w:t>
      </w:r>
      <w:r>
        <w:rPr>
          <w:rFonts w:ascii="仿宋" w:hAnsi="仿宋" w:eastAsia="仿宋"/>
          <w:kern w:val="2"/>
          <w:sz w:val="32"/>
          <w:szCs w:val="32"/>
        </w:rPr>
        <w:t>100%，决算数</w:t>
      </w:r>
      <w:r>
        <w:rPr>
          <w:rFonts w:hint="eastAsia" w:ascii="仿宋" w:hAnsi="仿宋" w:eastAsia="仿宋"/>
          <w:kern w:val="2"/>
          <w:sz w:val="32"/>
          <w:szCs w:val="32"/>
        </w:rPr>
        <w:t>与预算数持平。</w:t>
      </w:r>
      <w:bookmarkEnd w:id="34"/>
    </w:p>
    <w:p>
      <w:pPr>
        <w:pStyle w:val="2"/>
        <w:adjustRightInd w:val="0"/>
        <w:snapToGrid w:val="0"/>
        <w:spacing w:before="93" w:line="560" w:lineRule="exact"/>
        <w:ind w:firstLine="672" w:firstLineChars="210"/>
        <w:outlineLvl w:val="2"/>
        <w:rPr>
          <w:rStyle w:val="14"/>
          <w:rFonts w:ascii="仿宋" w:hAnsi="仿宋" w:eastAsia="仿宋"/>
          <w:bCs/>
          <w:kern w:val="2"/>
          <w:sz w:val="32"/>
          <w:szCs w:val="32"/>
        </w:rPr>
      </w:pPr>
      <w:r>
        <w:rPr>
          <w:rStyle w:val="14"/>
          <w:rFonts w:ascii="仿宋" w:hAnsi="仿宋" w:eastAsia="仿宋"/>
          <w:b w:val="0"/>
          <w:bCs/>
          <w:sz w:val="32"/>
          <w:szCs w:val="32"/>
        </w:rPr>
        <w:t>2.</w:t>
      </w:r>
      <w:r>
        <w:rPr>
          <w:rStyle w:val="14"/>
          <w:rFonts w:hint="eastAsia" w:ascii="仿宋" w:hAnsi="仿宋" w:eastAsia="仿宋"/>
          <w:b w:val="0"/>
          <w:bCs/>
          <w:kern w:val="2"/>
          <w:sz w:val="32"/>
          <w:szCs w:val="32"/>
        </w:rPr>
        <w:t>社会保障和就业支出（类）行政事业单位养老支出（款）机关事业单位基本养老保险缴费支出（项）</w:t>
      </w:r>
      <w:r>
        <w:rPr>
          <w:rStyle w:val="14"/>
          <w:rFonts w:ascii="仿宋" w:hAnsi="仿宋" w:eastAsia="仿宋"/>
          <w:b w:val="0"/>
          <w:bCs/>
          <w:kern w:val="2"/>
          <w:sz w:val="32"/>
          <w:szCs w:val="32"/>
        </w:rPr>
        <w:t>:</w:t>
      </w:r>
      <w:r>
        <w:rPr>
          <w:rFonts w:hint="eastAsia" w:ascii="仿宋" w:hAnsi="仿宋" w:eastAsia="仿宋"/>
          <w:kern w:val="2"/>
          <w:sz w:val="32"/>
          <w:szCs w:val="32"/>
        </w:rPr>
        <w:t>支出决算为5.79万元，完成预算</w:t>
      </w:r>
      <w:r>
        <w:rPr>
          <w:rFonts w:ascii="仿宋" w:hAnsi="仿宋" w:eastAsia="仿宋"/>
          <w:kern w:val="2"/>
          <w:sz w:val="32"/>
          <w:szCs w:val="32"/>
        </w:rPr>
        <w:t>100%，决算数</w:t>
      </w:r>
      <w:r>
        <w:rPr>
          <w:rFonts w:hint="eastAsia" w:ascii="仿宋" w:hAnsi="仿宋" w:eastAsia="仿宋"/>
          <w:kern w:val="2"/>
          <w:sz w:val="32"/>
          <w:szCs w:val="32"/>
        </w:rPr>
        <w:t>与预算数持平。</w:t>
      </w:r>
    </w:p>
    <w:p>
      <w:pPr>
        <w:pStyle w:val="2"/>
        <w:adjustRightInd w:val="0"/>
        <w:snapToGrid w:val="0"/>
        <w:spacing w:before="93" w:line="560" w:lineRule="exact"/>
        <w:ind w:firstLine="672" w:firstLineChars="210"/>
        <w:outlineLvl w:val="2"/>
        <w:rPr>
          <w:rStyle w:val="14"/>
          <w:rFonts w:ascii="仿宋" w:hAnsi="仿宋" w:eastAsia="仿宋"/>
          <w:bCs/>
          <w:kern w:val="2"/>
          <w:sz w:val="32"/>
          <w:szCs w:val="32"/>
        </w:rPr>
      </w:pPr>
      <w:bookmarkStart w:id="35" w:name="_Toc82073727"/>
      <w:r>
        <w:rPr>
          <w:rStyle w:val="14"/>
          <w:rFonts w:ascii="仿宋" w:hAnsi="仿宋" w:eastAsia="仿宋"/>
          <w:b w:val="0"/>
          <w:bCs/>
          <w:sz w:val="32"/>
          <w:szCs w:val="32"/>
        </w:rPr>
        <w:t>3.</w:t>
      </w:r>
      <w:r>
        <w:rPr>
          <w:rStyle w:val="14"/>
          <w:rFonts w:hint="eastAsia" w:ascii="仿宋" w:hAnsi="仿宋" w:eastAsia="仿宋"/>
          <w:b w:val="0"/>
          <w:bCs/>
          <w:kern w:val="2"/>
          <w:sz w:val="32"/>
          <w:szCs w:val="32"/>
        </w:rPr>
        <w:t>社会保障和就业支出（类）退役军人管理事务（款）军供保障（项）</w:t>
      </w:r>
      <w:r>
        <w:rPr>
          <w:rStyle w:val="14"/>
          <w:rFonts w:ascii="仿宋" w:hAnsi="仿宋" w:eastAsia="仿宋"/>
          <w:b w:val="0"/>
          <w:bCs/>
          <w:kern w:val="2"/>
          <w:sz w:val="32"/>
          <w:szCs w:val="32"/>
        </w:rPr>
        <w:t>:</w:t>
      </w:r>
      <w:r>
        <w:rPr>
          <w:rFonts w:hint="eastAsia" w:ascii="仿宋" w:hAnsi="仿宋" w:eastAsia="仿宋"/>
          <w:kern w:val="2"/>
          <w:sz w:val="32"/>
          <w:szCs w:val="32"/>
        </w:rPr>
        <w:t>支出决算为112.27万元，完成预算100</w:t>
      </w:r>
      <w:r>
        <w:rPr>
          <w:rFonts w:ascii="仿宋" w:hAnsi="仿宋" w:eastAsia="仿宋"/>
          <w:kern w:val="2"/>
          <w:sz w:val="32"/>
          <w:szCs w:val="32"/>
        </w:rPr>
        <w:t>%，决算数</w:t>
      </w:r>
      <w:r>
        <w:rPr>
          <w:rFonts w:hint="eastAsia" w:ascii="仿宋" w:hAnsi="仿宋" w:eastAsia="仿宋"/>
          <w:kern w:val="2"/>
          <w:sz w:val="32"/>
          <w:szCs w:val="32"/>
        </w:rPr>
        <w:t>与预算数持平。</w:t>
      </w:r>
      <w:bookmarkEnd w:id="35"/>
    </w:p>
    <w:p>
      <w:pPr>
        <w:widowControl/>
        <w:adjustRightInd w:val="0"/>
        <w:snapToGrid w:val="0"/>
        <w:spacing w:after="200" w:line="560" w:lineRule="exact"/>
        <w:ind w:firstLine="640" w:firstLineChars="200"/>
        <w:rPr>
          <w:rFonts w:ascii="仿宋" w:hAnsi="仿宋" w:eastAsia="仿宋"/>
          <w:sz w:val="32"/>
          <w:szCs w:val="32"/>
        </w:rPr>
      </w:pPr>
      <w:r>
        <w:rPr>
          <w:rStyle w:val="14"/>
          <w:rFonts w:ascii="仿宋" w:hAnsi="仿宋" w:eastAsia="仿宋"/>
          <w:b w:val="0"/>
          <w:bCs/>
          <w:sz w:val="32"/>
          <w:szCs w:val="32"/>
        </w:rPr>
        <w:t>4.</w:t>
      </w:r>
      <w:r>
        <w:rPr>
          <w:rStyle w:val="14"/>
          <w:rFonts w:hint="eastAsia" w:ascii="仿宋" w:hAnsi="仿宋" w:eastAsia="仿宋"/>
          <w:b w:val="0"/>
          <w:bCs/>
          <w:sz w:val="32"/>
          <w:szCs w:val="32"/>
        </w:rPr>
        <w:t>住房保障支出（类）住房改革支出（款）住房公积金（项）</w:t>
      </w:r>
      <w:r>
        <w:rPr>
          <w:rStyle w:val="14"/>
          <w:rFonts w:ascii="仿宋" w:hAnsi="仿宋" w:eastAsia="仿宋"/>
          <w:b w:val="0"/>
          <w:bCs/>
          <w:sz w:val="32"/>
          <w:szCs w:val="32"/>
        </w:rPr>
        <w:t>:</w:t>
      </w:r>
      <w:r>
        <w:rPr>
          <w:rFonts w:ascii="仿宋_GB2312" w:eastAsia="仿宋_GB2312"/>
          <w:sz w:val="32"/>
          <w:szCs w:val="32"/>
        </w:rPr>
        <w:t xml:space="preserve"> </w:t>
      </w:r>
      <w:r>
        <w:rPr>
          <w:rFonts w:hint="eastAsia" w:ascii="仿宋" w:hAnsi="仿宋" w:eastAsia="仿宋"/>
          <w:sz w:val="32"/>
          <w:szCs w:val="32"/>
        </w:rPr>
        <w:t>支出决算为7.98万元，完成预算100</w:t>
      </w:r>
      <w:r>
        <w:rPr>
          <w:rFonts w:ascii="仿宋" w:hAnsi="仿宋" w:eastAsia="仿宋"/>
          <w:sz w:val="32"/>
          <w:szCs w:val="32"/>
        </w:rPr>
        <w:t>%</w:t>
      </w:r>
      <w:r>
        <w:rPr>
          <w:rFonts w:hint="eastAsia" w:ascii="仿宋" w:hAnsi="仿宋" w:eastAsia="仿宋"/>
          <w:sz w:val="32"/>
          <w:szCs w:val="32"/>
        </w:rPr>
        <w:t>,决算数与预算数持平。</w:t>
      </w:r>
    </w:p>
    <w:p>
      <w:pPr>
        <w:tabs>
          <w:tab w:val="right" w:pos="8306"/>
        </w:tabs>
        <w:spacing w:line="560" w:lineRule="exact"/>
        <w:ind w:firstLine="640"/>
        <w:outlineLvl w:val="1"/>
        <w:rPr>
          <w:rStyle w:val="25"/>
        </w:rPr>
      </w:pPr>
      <w:bookmarkStart w:id="36" w:name="_Toc15396608"/>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6"/>
      <w:bookmarkEnd w:id="37"/>
      <w:r>
        <w:rPr>
          <w:rStyle w:val="25"/>
          <w:rFonts w:ascii="黑体" w:hAnsi="黑体" w:eastAsia="黑体"/>
          <w:b w:val="0"/>
        </w:rPr>
        <w:tab/>
      </w:r>
    </w:p>
    <w:p>
      <w:pPr>
        <w:spacing w:line="56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22年一般公共预算财政拨款基本支出117.47万元，其中：</w:t>
      </w:r>
    </w:p>
    <w:p>
      <w:pPr>
        <w:spacing w:line="560" w:lineRule="exact"/>
        <w:ind w:firstLine="645"/>
        <w:rPr>
          <w:rFonts w:ascii="仿宋" w:hAnsi="仿宋" w:eastAsia="仿宋"/>
          <w:sz w:val="32"/>
          <w:szCs w:val="32"/>
        </w:rPr>
      </w:pPr>
      <w:r>
        <w:rPr>
          <w:rFonts w:hint="eastAsia" w:ascii="仿宋" w:hAnsi="仿宋" w:eastAsia="仿宋"/>
          <w:sz w:val="32"/>
          <w:szCs w:val="32"/>
        </w:rPr>
        <w:t>人员经费108.6万元，主要包括：基本工资、津贴补贴、绩效工资、机关事业单位基本养老保险缴费、职业年金缴费、其他社会保障缴费、其他工资福利支出、退休费、生活补助、医疗费补助、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8.87万元，主要包括：办公费、水费、电费、邮电费、物业管理费、差旅费、维修（护）费、培训费、公务接待费、劳务费、委托业务费、工会经费、福利费、公务用车运行维护费、其他商品和服务支出、其他资本性支出等。</w:t>
      </w:r>
    </w:p>
    <w:p>
      <w:pPr>
        <w:spacing w:line="560" w:lineRule="exact"/>
        <w:ind w:firstLine="640"/>
        <w:outlineLvl w:val="1"/>
        <w:rPr>
          <w:rStyle w:val="25"/>
          <w:rFonts w:ascii="黑体" w:hAnsi="黑体" w:eastAsia="黑体"/>
          <w:b w:val="0"/>
        </w:rPr>
      </w:pPr>
      <w:bookmarkStart w:id="38" w:name="_Toc15396609"/>
      <w:bookmarkStart w:id="39"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8"/>
      <w:bookmarkEnd w:id="39"/>
    </w:p>
    <w:p>
      <w:pPr>
        <w:spacing w:line="56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560" w:lineRule="exact"/>
        <w:ind w:firstLine="64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22年“三公”经费财政拨款支出决算为3.19万元，完成预算100</w:t>
      </w:r>
      <w:r>
        <w:rPr>
          <w:rFonts w:ascii="仿宋" w:hAnsi="仿宋" w:eastAsia="仿宋"/>
          <w:sz w:val="32"/>
          <w:szCs w:val="32"/>
        </w:rPr>
        <w:t>%</w:t>
      </w:r>
      <w:r>
        <w:rPr>
          <w:rFonts w:hint="eastAsia" w:ascii="仿宋" w:hAnsi="仿宋" w:eastAsia="仿宋"/>
          <w:sz w:val="32"/>
          <w:szCs w:val="32"/>
        </w:rPr>
        <w:t>，较上年增加2.72万元，增长85%。决算数与预算数持平的主要原因是单位2辆公务车都使用年限长，维修维护费用增加，其中单位有1辆公务车于2008年10月购置，报修次数不断递增，其存在很大的安全隐患，2022年底我单位进行申请报废程序。</w:t>
      </w:r>
    </w:p>
    <w:p>
      <w:pPr>
        <w:spacing w:line="56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；公务用车购置及运行维护费支出决算3.05万元，占95.61</w:t>
      </w:r>
      <w:r>
        <w:rPr>
          <w:rFonts w:ascii="仿宋" w:hAnsi="仿宋" w:eastAsia="仿宋"/>
          <w:sz w:val="32"/>
          <w:szCs w:val="32"/>
        </w:rPr>
        <w:t>%</w:t>
      </w:r>
      <w:r>
        <w:rPr>
          <w:rFonts w:hint="eastAsia" w:ascii="仿宋" w:hAnsi="仿宋" w:eastAsia="仿宋"/>
          <w:sz w:val="32"/>
          <w:szCs w:val="32"/>
        </w:rPr>
        <w:t>；公务接待费支出决算0.14万元，占4.39</w:t>
      </w:r>
      <w:r>
        <w:rPr>
          <w:rFonts w:ascii="仿宋" w:hAnsi="仿宋" w:eastAsia="仿宋"/>
          <w:sz w:val="32"/>
          <w:szCs w:val="32"/>
        </w:rPr>
        <w:t>%</w:t>
      </w:r>
      <w:r>
        <w:rPr>
          <w:rFonts w:hint="eastAsia" w:ascii="仿宋" w:hAnsi="仿宋" w:eastAsia="仿宋"/>
          <w:sz w:val="32"/>
          <w:szCs w:val="32"/>
        </w:rPr>
        <w:t>。具体情况如下：</w:t>
      </w:r>
    </w:p>
    <w:p>
      <w:pPr>
        <w:spacing w:line="56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pStyle w:val="2"/>
        <w:spacing w:before="93"/>
        <w:jc w:val="center"/>
      </w:pPr>
      <w:r>
        <w:rPr>
          <w:rFonts w:hint="eastAsia"/>
        </w:rPr>
        <w:drawing>
          <wp:inline distT="0" distB="0" distL="0" distR="0">
            <wp:extent cx="5274310" cy="3102610"/>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a:srcRect/>
                    <a:stretch>
                      <a:fillRect/>
                    </a:stretch>
                  </pic:blipFill>
                  <pic:spPr>
                    <a:xfrm>
                      <a:off x="0" y="0"/>
                      <a:ext cx="5274310" cy="3102982"/>
                    </a:xfrm>
                    <a:prstGeom prst="rect">
                      <a:avLst/>
                    </a:prstGeom>
                    <a:noFill/>
                    <a:ln w="9525">
                      <a:noFill/>
                      <a:miter lim="800000"/>
                      <a:headEnd/>
                      <a:tailEnd/>
                    </a:ln>
                  </pic:spPr>
                </pic:pic>
              </a:graphicData>
            </a:graphic>
          </wp:inline>
        </w:drawing>
      </w:r>
    </w:p>
    <w:p>
      <w:pPr>
        <w:spacing w:line="560" w:lineRule="exact"/>
        <w:ind w:firstLine="640"/>
        <w:rPr>
          <w:rFonts w:ascii="仿宋_GB2312" w:eastAsia="仿宋_GB2312"/>
          <w:b/>
          <w:sz w:val="32"/>
          <w:szCs w:val="32"/>
        </w:rPr>
      </w:pPr>
      <w:r>
        <w:rPr>
          <w:rFonts w:ascii="仿宋_GB2312" w:eastAsia="仿宋_GB2312"/>
          <w:sz w:val="32"/>
          <w:szCs w:val="32"/>
        </w:rPr>
        <w:t>1.</w:t>
      </w:r>
      <w:r>
        <w:rPr>
          <w:rFonts w:hint="eastAsia" w:ascii="仿宋_GB2312" w:eastAsia="仿宋_GB2312"/>
          <w:sz w:val="32"/>
          <w:szCs w:val="32"/>
        </w:rPr>
        <w:t>因公出国（境）经费支出0万元，完成预算0</w:t>
      </w:r>
      <w:r>
        <w:rPr>
          <w:rFonts w:ascii="仿宋_GB2312" w:eastAsia="仿宋_GB2312"/>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21年持平。主要原因是单位没有相关预算经费，也没有相应支出。</w:t>
      </w:r>
    </w:p>
    <w:p>
      <w:pPr>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公务用车购置及运行维护费支出3.05万元,完成预算100</w:t>
      </w:r>
      <w:r>
        <w:rPr>
          <w:rFonts w:ascii="仿宋_GB2312" w:eastAsia="仿宋_GB2312"/>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21年增加2.58万元，增长84.59</w:t>
      </w:r>
      <w:r>
        <w:rPr>
          <w:rFonts w:ascii="仿宋_GB2312" w:eastAsia="仿宋_GB2312"/>
          <w:sz w:val="32"/>
          <w:szCs w:val="32"/>
        </w:rPr>
        <w:t>%</w:t>
      </w:r>
      <w:r>
        <w:rPr>
          <w:rFonts w:hint="eastAsia" w:ascii="仿宋_GB2312" w:eastAsia="仿宋_GB2312"/>
          <w:sz w:val="32"/>
          <w:szCs w:val="32"/>
        </w:rPr>
        <w:t>。主要原因是单位2辆公务车都使用年限长，维修维护费用增加，其中单位有1辆公务车于2008年10月购置，报修次数不断递增，其存在很大的安全隐患，2022年底我单位进行申请报废程序。</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其中：公务用车购置支出0万元。全年按规定更新购置公务用车0辆，其中：轿车0辆、金额0万元，越野车0辆、金额0万元，载客汽车0辆、金额0万元，。截至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月底，单位共有公务用车2辆，其中：轿车1辆、越野车1辆、载客汽车0辆。</w:t>
      </w:r>
    </w:p>
    <w:p>
      <w:pPr>
        <w:spacing w:line="560" w:lineRule="exact"/>
        <w:ind w:firstLine="640"/>
        <w:rPr>
          <w:rFonts w:ascii="仿宋_GB2312" w:eastAsia="仿宋_GB2312"/>
          <w:sz w:val="32"/>
          <w:szCs w:val="32"/>
        </w:rPr>
      </w:pPr>
      <w:r>
        <w:rPr>
          <w:rFonts w:hint="eastAsia" w:ascii="仿宋_GB2312" w:eastAsia="仿宋_GB2312"/>
          <w:sz w:val="32"/>
          <w:szCs w:val="32"/>
        </w:rPr>
        <w:t>公务用车运行维护费支出3.05万元。主要用于单位军供保障任务、业务工作开展等所需的公务用车燃料费、维修费、过路过桥费、保险费等支出。</w:t>
      </w:r>
    </w:p>
    <w:p>
      <w:pPr>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公务接待费支出0.14万元，完成预算</w:t>
      </w:r>
      <w:r>
        <w:rPr>
          <w:rFonts w:ascii="仿宋_GB2312" w:eastAsia="仿宋_GB2312"/>
          <w:sz w:val="32"/>
          <w:szCs w:val="32"/>
        </w:rPr>
        <w:t>100%</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21年增加0.14万元，增长100</w:t>
      </w:r>
      <w:r>
        <w:rPr>
          <w:rFonts w:ascii="仿宋_GB2312" w:eastAsia="仿宋_GB2312"/>
          <w:sz w:val="32"/>
          <w:szCs w:val="32"/>
        </w:rPr>
        <w:t xml:space="preserve"> %</w:t>
      </w:r>
      <w:r>
        <w:rPr>
          <w:rFonts w:hint="eastAsia" w:ascii="仿宋_GB2312" w:eastAsia="仿宋_GB2312"/>
          <w:sz w:val="32"/>
          <w:szCs w:val="32"/>
        </w:rPr>
        <w:t>。主要原因是2021年没有公务接待任务，未产生公务接待费用，2022年公务接待2次。其中：</w:t>
      </w:r>
    </w:p>
    <w:p>
      <w:pPr>
        <w:spacing w:line="560" w:lineRule="exact"/>
        <w:ind w:firstLine="640"/>
        <w:rPr>
          <w:rFonts w:ascii="仿宋_GB2312" w:eastAsia="仿宋_GB2312"/>
          <w:sz w:val="32"/>
          <w:szCs w:val="32"/>
        </w:rPr>
      </w:pPr>
      <w:r>
        <w:rPr>
          <w:rFonts w:hint="eastAsia" w:ascii="仿宋_GB2312" w:eastAsia="仿宋_GB2312"/>
          <w:sz w:val="32"/>
          <w:szCs w:val="32"/>
        </w:rPr>
        <w:t>国内公务接待支出0.14万元，主要用于四川省军供保障中心一行和达州市军供站一行到我单位考察和业务交流期间的公务接待费用。国内公务接待2批次，11人次（不包括陪同人员），共计支出0.14万元，具体内容包括：四川省军供保障中心一行4人到我单位考察期间公务接待费用0.06万元；达州市军供站一行7人到我单位业务交流期间的公务接待费用0.08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外事接待支出0万元。外事接待批次，人次（不包括陪同人员），共计支出0万元。</w:t>
      </w:r>
    </w:p>
    <w:p>
      <w:pPr>
        <w:spacing w:line="560" w:lineRule="exact"/>
        <w:ind w:firstLine="640"/>
        <w:outlineLvl w:val="1"/>
        <w:rPr>
          <w:rStyle w:val="25"/>
          <w:rFonts w:ascii="黑体" w:hAnsi="黑体" w:eastAsia="黑体"/>
        </w:rPr>
      </w:pPr>
      <w:bookmarkStart w:id="42" w:name="_Toc15396610"/>
      <w:bookmarkStart w:id="43" w:name="_Toc15377218"/>
      <w:r>
        <w:rPr>
          <w:rFonts w:hint="eastAsia" w:ascii="黑体" w:eastAsia="黑体"/>
          <w:sz w:val="32"/>
          <w:szCs w:val="32"/>
        </w:rPr>
        <w:t>八、</w:t>
      </w:r>
      <w:r>
        <w:rPr>
          <w:rStyle w:val="25"/>
          <w:rFonts w:hint="eastAsia" w:ascii="黑体" w:hAnsi="黑体" w:eastAsia="黑体"/>
          <w:b w:val="0"/>
        </w:rPr>
        <w:t>政府性基金预算支出决算情况说明</w:t>
      </w:r>
      <w:bookmarkEnd w:id="42"/>
      <w:bookmarkEnd w:id="43"/>
    </w:p>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3"/>
        </w:numPr>
        <w:spacing w:line="560" w:lineRule="exact"/>
        <w:ind w:firstLine="640"/>
        <w:outlineLvl w:val="1"/>
        <w:rPr>
          <w:rStyle w:val="25"/>
          <w:rFonts w:ascii="黑体" w:hAnsi="黑体" w:eastAsia="黑体"/>
          <w:b w:val="0"/>
        </w:rPr>
      </w:pPr>
      <w:bookmarkStart w:id="44" w:name="_Toc15396611"/>
      <w:bookmarkStart w:id="45" w:name="_Toc15377219"/>
      <w:r>
        <w:rPr>
          <w:rStyle w:val="25"/>
          <w:rFonts w:hint="eastAsia" w:ascii="黑体" w:hAnsi="黑体" w:eastAsia="黑体"/>
          <w:b w:val="0"/>
        </w:rPr>
        <w:t>国有资本经营预算支出决算情况说明</w:t>
      </w:r>
      <w:bookmarkEnd w:id="44"/>
      <w:bookmarkEnd w:id="45"/>
    </w:p>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3"/>
        </w:numPr>
        <w:spacing w:line="560" w:lineRule="exact"/>
        <w:ind w:firstLine="640"/>
        <w:outlineLvl w:val="1"/>
        <w:rPr>
          <w:rStyle w:val="25"/>
          <w:rFonts w:ascii="黑体" w:hAnsi="黑体" w:eastAsia="黑体"/>
          <w:b w:val="0"/>
        </w:rPr>
      </w:pPr>
      <w:bookmarkStart w:id="46" w:name="_Toc15377221"/>
      <w:bookmarkStart w:id="47" w:name="_Toc15396612"/>
      <w:r>
        <w:rPr>
          <w:rStyle w:val="25"/>
          <w:rFonts w:hint="eastAsia" w:ascii="黑体" w:hAnsi="黑体" w:eastAsia="黑体"/>
          <w:b w:val="0"/>
        </w:rPr>
        <w:t>其他重要事项的情况说明</w:t>
      </w:r>
      <w:bookmarkEnd w:id="46"/>
      <w:bookmarkEnd w:id="47"/>
    </w:p>
    <w:p>
      <w:pPr>
        <w:spacing w:line="56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22年，攀枝花市军供站机关运行经费支出0万元，我单位属于攀枝花市退役军人事务局下属事业单位，无相关费用支出。</w:t>
      </w:r>
    </w:p>
    <w:p>
      <w:pPr>
        <w:autoSpaceDE w:val="0"/>
        <w:autoSpaceDN w:val="0"/>
        <w:adjustRightInd w:val="0"/>
        <w:spacing w:line="56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22年，攀枝花市军供站政府采购支出总额0万元，其中：政府采购货物支出0万元、政府采购工程支出0万元、政府采购服务支出0万元。</w:t>
      </w:r>
    </w:p>
    <w:p>
      <w:pPr>
        <w:autoSpaceDE w:val="0"/>
        <w:autoSpaceDN w:val="0"/>
        <w:adjustRightInd w:val="0"/>
        <w:spacing w:line="56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日，攀枝花市军供站共有车辆2辆，其中：主要领导干部用车0辆、机要通信用车0辆、应急保障用车0辆、其他用车2辆，其他用车主要是用于保障过往部队饮食供应采购需求和工作开展需要。单价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56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line="560" w:lineRule="exact"/>
        <w:ind w:firstLine="640" w:firstLineChars="200"/>
        <w:rPr>
          <w:highlight w:val="yellow"/>
        </w:rPr>
      </w:pPr>
      <w:r>
        <w:rPr>
          <w:rFonts w:hint="eastAsia" w:hAnsi="仿宋_GB2312" w:cs="仿宋_GB2312"/>
          <w:sz w:val="32"/>
          <w:szCs w:val="32"/>
        </w:rPr>
        <w:t>根据预算绩效管理要求，本单位在2022年度预算编制阶段，组织对过往部队接待及伙食补贴和省级财政优抚安置事业单位补助资金等2个项目开展了预算事前绩效评估，对2个项目编制了绩效目标，预算执行过程中，选取2个项目开展绩效监控，组织对2个项目开展绩效自评，绩效自评表详见第四部分附件。</w:t>
      </w:r>
    </w:p>
    <w:p>
      <w:pPr>
        <w:widowControl/>
        <w:spacing w:line="560" w:lineRule="exact"/>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1" w:name="_Toc15377225"/>
      <w:bookmarkStart w:id="52" w:name="_Toc15396613"/>
      <w:r>
        <w:rPr>
          <w:rFonts w:hint="eastAsia" w:ascii="黑体" w:hAnsi="黑体" w:eastAsia="黑体"/>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4.年末结转和结余：指单位按有关规定结转到下年或以后年度继续使用的资金。</w:t>
      </w:r>
    </w:p>
    <w:p>
      <w:pPr>
        <w:spacing w:line="54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5</w:t>
      </w:r>
      <w:r>
        <w:rPr>
          <w:rFonts w:ascii="仿宋_GB2312" w:hAnsi="Calibri" w:eastAsia="仿宋_GB2312" w:cs="仿宋"/>
          <w:kern w:val="0"/>
          <w:sz w:val="32"/>
          <w:szCs w:val="32"/>
        </w:rPr>
        <w:t>.</w:t>
      </w:r>
      <w:r>
        <w:rPr>
          <w:rFonts w:hint="eastAsia" w:ascii="仿宋_GB2312" w:hAnsi="Calibri" w:eastAsia="仿宋_GB2312" w:cs="仿宋"/>
          <w:kern w:val="0"/>
          <w:sz w:val="32"/>
          <w:szCs w:val="32"/>
        </w:rPr>
        <w:t>社会保障和就业支出（类）行政事业单位养老支出（款）事业单位离退休（项）</w:t>
      </w:r>
      <w:r>
        <w:rPr>
          <w:rFonts w:ascii="仿宋_GB2312" w:hAnsi="Calibri" w:eastAsia="仿宋_GB2312" w:cs="仿宋"/>
          <w:kern w:val="0"/>
          <w:sz w:val="32"/>
          <w:szCs w:val="32"/>
        </w:rPr>
        <w:t>:</w:t>
      </w:r>
      <w:r>
        <w:rPr>
          <w:rFonts w:hint="eastAsia" w:ascii="仿宋_GB2312" w:hAnsi="Calibri" w:eastAsia="仿宋_GB2312" w:cs="仿宋"/>
          <w:kern w:val="0"/>
          <w:sz w:val="32"/>
          <w:szCs w:val="32"/>
        </w:rPr>
        <w:t xml:space="preserve"> 指事业单位开支的离退休经费。</w:t>
      </w:r>
    </w:p>
    <w:p>
      <w:pPr>
        <w:spacing w:line="54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6</w:t>
      </w:r>
      <w:r>
        <w:rPr>
          <w:rFonts w:ascii="仿宋_GB2312" w:hAnsi="Calibri" w:eastAsia="仿宋_GB2312" w:cs="仿宋"/>
          <w:kern w:val="0"/>
          <w:sz w:val="32"/>
          <w:szCs w:val="32"/>
        </w:rPr>
        <w:t>.</w:t>
      </w:r>
      <w:r>
        <w:rPr>
          <w:rFonts w:hint="eastAsia" w:ascii="仿宋_GB2312" w:hAnsi="Calibri" w:eastAsia="仿宋_GB2312" w:cs="仿宋"/>
          <w:kern w:val="0"/>
          <w:sz w:val="32"/>
          <w:szCs w:val="32"/>
        </w:rPr>
        <w:t>社会保障和就业支出（类）行政事业单位养老支出（款）机关事业单位基本养老保险缴费支出（项）</w:t>
      </w:r>
      <w:r>
        <w:rPr>
          <w:rFonts w:ascii="仿宋_GB2312" w:hAnsi="Calibri" w:eastAsia="仿宋_GB2312" w:cs="仿宋"/>
          <w:kern w:val="0"/>
          <w:sz w:val="32"/>
          <w:szCs w:val="32"/>
        </w:rPr>
        <w:t>:</w:t>
      </w:r>
      <w:r>
        <w:rPr>
          <w:rFonts w:hint="eastAsia" w:ascii="仿宋_GB2312" w:hAnsi="Calibri" w:eastAsia="仿宋_GB2312" w:cs="仿宋"/>
          <w:kern w:val="0"/>
          <w:sz w:val="32"/>
          <w:szCs w:val="32"/>
        </w:rPr>
        <w:t xml:space="preserve"> 指机关事业单位实施养老保险制度由单位缴纳的基本养老保险费支出。</w:t>
      </w:r>
    </w:p>
    <w:p>
      <w:pPr>
        <w:spacing w:line="54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7</w:t>
      </w:r>
      <w:r>
        <w:rPr>
          <w:rFonts w:ascii="仿宋_GB2312" w:hAnsi="Calibri" w:eastAsia="仿宋_GB2312" w:cs="仿宋"/>
          <w:kern w:val="0"/>
          <w:sz w:val="32"/>
          <w:szCs w:val="32"/>
        </w:rPr>
        <w:t>.</w:t>
      </w:r>
      <w:r>
        <w:rPr>
          <w:rFonts w:hint="eastAsia" w:ascii="仿宋_GB2312" w:hAnsi="Calibri" w:eastAsia="仿宋_GB2312" w:cs="仿宋"/>
          <w:kern w:val="0"/>
          <w:sz w:val="32"/>
          <w:szCs w:val="32"/>
        </w:rPr>
        <w:t>社会保障和就业支出（类）退役军人管理事务（款）军供保障（项）</w:t>
      </w:r>
      <w:r>
        <w:rPr>
          <w:rFonts w:ascii="仿宋_GB2312" w:hAnsi="Calibri" w:eastAsia="仿宋_GB2312" w:cs="仿宋"/>
          <w:kern w:val="0"/>
          <w:sz w:val="32"/>
          <w:szCs w:val="32"/>
        </w:rPr>
        <w:t>:</w:t>
      </w:r>
      <w:r>
        <w:rPr>
          <w:rFonts w:hint="eastAsia" w:ascii="仿宋_GB2312" w:hAnsi="Calibri" w:eastAsia="仿宋_GB2312" w:cs="仿宋"/>
          <w:kern w:val="0"/>
          <w:sz w:val="32"/>
          <w:szCs w:val="32"/>
        </w:rPr>
        <w:t xml:space="preserve"> 指军供站</w:t>
      </w:r>
      <w:r>
        <w:rPr>
          <w:rFonts w:ascii="仿宋_GB2312" w:hAnsi="Calibri" w:eastAsia="仿宋_GB2312" w:cs="仿宋"/>
          <w:kern w:val="0"/>
          <w:sz w:val="32"/>
          <w:szCs w:val="32"/>
        </w:rPr>
        <w:t>(</w:t>
      </w:r>
      <w:r>
        <w:rPr>
          <w:rFonts w:hint="eastAsia" w:ascii="仿宋_GB2312" w:hAnsi="Calibri" w:eastAsia="仿宋_GB2312" w:cs="仿宋"/>
          <w:kern w:val="0"/>
          <w:sz w:val="32"/>
          <w:szCs w:val="32"/>
        </w:rPr>
        <w:t>兵站</w:t>
      </w:r>
      <w:r>
        <w:rPr>
          <w:rFonts w:ascii="仿宋_GB2312" w:hAnsi="Calibri" w:eastAsia="仿宋_GB2312" w:cs="仿宋"/>
          <w:kern w:val="0"/>
          <w:sz w:val="32"/>
          <w:szCs w:val="32"/>
        </w:rPr>
        <w:t>)</w:t>
      </w:r>
      <w:r>
        <w:rPr>
          <w:rFonts w:hint="eastAsia" w:ascii="仿宋_GB2312" w:hAnsi="Calibri" w:eastAsia="仿宋_GB2312" w:cs="仿宋"/>
          <w:kern w:val="0"/>
          <w:sz w:val="32"/>
          <w:szCs w:val="32"/>
        </w:rPr>
        <w:t>等用于保障军队运输和饮食供应的支出。</w:t>
      </w:r>
    </w:p>
    <w:p>
      <w:pPr>
        <w:spacing w:line="54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8</w:t>
      </w:r>
      <w:r>
        <w:rPr>
          <w:rFonts w:ascii="仿宋_GB2312" w:hAnsi="Calibri" w:eastAsia="仿宋_GB2312" w:cs="仿宋"/>
          <w:kern w:val="0"/>
          <w:sz w:val="32"/>
          <w:szCs w:val="32"/>
        </w:rPr>
        <w:t>.</w:t>
      </w:r>
      <w:r>
        <w:rPr>
          <w:rFonts w:hint="eastAsia" w:ascii="仿宋_GB2312" w:hAnsi="Calibri" w:eastAsia="仿宋_GB2312" w:cs="仿宋"/>
          <w:kern w:val="0"/>
          <w:sz w:val="32"/>
          <w:szCs w:val="32"/>
        </w:rPr>
        <w:t>住房保障支出（类）住房改革支出（款）住房公积金（项）</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指行政事业单位按人力资源和社会保障部、财政部规定的基本工资和津贴补贴以及规定比例为职工缴纳的住房公积金。</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9</w:t>
      </w:r>
      <w:r>
        <w:rPr>
          <w:rFonts w:ascii="仿宋_GB2312" w:hAnsi="Calibri" w:eastAsia="仿宋_GB2312" w:cs="仿宋"/>
          <w:kern w:val="0"/>
          <w:sz w:val="32"/>
          <w:szCs w:val="32"/>
        </w:rPr>
        <w:t>.</w:t>
      </w:r>
      <w:r>
        <w:rPr>
          <w:rFonts w:hint="eastAsia" w:ascii="仿宋_GB2312" w:hAnsi="Calibri" w:eastAsia="仿宋_GB2312" w:cs="仿宋"/>
          <w:kern w:val="0"/>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rPr>
      </w:pPr>
      <w:bookmarkStart w:id="53" w:name="_Toc15377226"/>
      <w:r>
        <w:rPr>
          <w:rFonts w:ascii="宋体"/>
          <w:b/>
          <w:sz w:val="44"/>
          <w:szCs w:val="44"/>
        </w:rPr>
        <w:br w:type="page"/>
      </w:r>
      <w:bookmarkStart w:id="54" w:name="_Toc15396614"/>
      <w:r>
        <w:rPr>
          <w:rFonts w:hint="eastAsia" w:ascii="黑体" w:hAnsi="黑体" w:eastAsia="黑体"/>
          <w:sz w:val="44"/>
          <w:szCs w:val="44"/>
        </w:rPr>
        <w:t>第</w:t>
      </w:r>
      <w:r>
        <w:rPr>
          <w:rStyle w:val="24"/>
          <w:rFonts w:hint="eastAsia" w:ascii="黑体" w:hAnsi="黑体" w:eastAsia="黑体"/>
          <w:b w:val="0"/>
        </w:rPr>
        <w:t>四部分 附件</w:t>
      </w:r>
      <w:bookmarkEnd w:id="54"/>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5" w:name="_Toc15396618"/>
      <w:r>
        <w:rPr>
          <w:rFonts w:hint="eastAsia" w:ascii="宋体" w:hAnsi="宋体" w:cs="宋体"/>
          <w:kern w:val="0"/>
          <w:sz w:val="32"/>
          <w:szCs w:val="32"/>
        </w:rPr>
        <w:t>部门预算项目支出绩效自评表（2022年度）见附件3</w:t>
      </w: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3"/>
      <w:bookmarkEnd w:id="55"/>
      <w:bookmarkStart w:id="56"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6"/>
    </w:p>
    <w:p>
      <w:pPr>
        <w:pStyle w:val="4"/>
        <w:rPr>
          <w:rFonts w:ascii="仿宋" w:hAnsi="仿宋" w:eastAsia="仿宋"/>
        </w:rPr>
      </w:pPr>
      <w:bookmarkStart w:id="57" w:name="_Toc15396620"/>
      <w:r>
        <w:rPr>
          <w:rFonts w:hint="eastAsia" w:ascii="仿宋" w:hAnsi="仿宋" w:eastAsia="仿宋"/>
          <w:b w:val="0"/>
        </w:rPr>
        <w:t>二、收</w:t>
      </w:r>
      <w:r>
        <w:rPr>
          <w:rStyle w:val="25"/>
          <w:rFonts w:hint="eastAsia" w:ascii="仿宋" w:hAnsi="仿宋" w:eastAsia="仿宋"/>
          <w:b w:val="0"/>
          <w:bCs w:val="0"/>
        </w:rPr>
        <w:t>入决算表</w:t>
      </w:r>
      <w:bookmarkEnd w:id="57"/>
    </w:p>
    <w:p>
      <w:pPr>
        <w:pStyle w:val="4"/>
        <w:rPr>
          <w:rFonts w:ascii="仿宋" w:hAnsi="仿宋" w:eastAsia="仿宋"/>
        </w:rPr>
      </w:pPr>
      <w:bookmarkStart w:id="58"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8"/>
    </w:p>
    <w:p>
      <w:pPr>
        <w:pStyle w:val="4"/>
        <w:rPr>
          <w:rFonts w:ascii="仿宋" w:hAnsi="仿宋" w:eastAsia="仿宋"/>
          <w:b w:val="0"/>
        </w:rPr>
      </w:pPr>
      <w:bookmarkStart w:id="59"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9"/>
    </w:p>
    <w:p>
      <w:pPr>
        <w:pStyle w:val="4"/>
        <w:rPr>
          <w:rStyle w:val="25"/>
          <w:rFonts w:ascii="仿宋" w:hAnsi="仿宋" w:eastAsia="仿宋"/>
          <w:b w:val="0"/>
          <w:bCs w:val="0"/>
        </w:rPr>
      </w:pPr>
      <w:bookmarkStart w:id="60"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0"/>
      <w:bookmarkStart w:id="61"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1"/>
    </w:p>
    <w:p>
      <w:pPr>
        <w:pStyle w:val="4"/>
        <w:rPr>
          <w:rFonts w:ascii="仿宋" w:hAnsi="仿宋" w:eastAsia="仿宋"/>
        </w:rPr>
      </w:pPr>
      <w:bookmarkStart w:id="62"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2"/>
    </w:p>
    <w:p>
      <w:pPr>
        <w:pStyle w:val="4"/>
        <w:rPr>
          <w:rFonts w:ascii="仿宋" w:hAnsi="仿宋" w:eastAsia="仿宋"/>
        </w:rPr>
      </w:pPr>
      <w:bookmarkStart w:id="63"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3"/>
    </w:p>
    <w:p>
      <w:pPr>
        <w:pStyle w:val="4"/>
        <w:rPr>
          <w:rFonts w:ascii="仿宋" w:hAnsi="仿宋" w:eastAsia="仿宋"/>
        </w:rPr>
      </w:pPr>
      <w:bookmarkStart w:id="64"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4"/>
    </w:p>
    <w:p>
      <w:pPr>
        <w:pStyle w:val="4"/>
        <w:rPr>
          <w:rFonts w:ascii="仿宋" w:hAnsi="仿宋" w:eastAsia="仿宋"/>
        </w:rPr>
      </w:pPr>
      <w:bookmarkStart w:id="65" w:name="_Toc15396628"/>
      <w:r>
        <w:rPr>
          <w:rStyle w:val="25"/>
          <w:rFonts w:hint="eastAsia" w:ascii="仿宋" w:hAnsi="仿宋" w:eastAsia="仿宋"/>
          <w:b w:val="0"/>
          <w:bCs w:val="0"/>
        </w:rPr>
        <w:t>十、</w:t>
      </w:r>
      <w:bookmarkEnd w:id="65"/>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6" w:name="_Toc15396629"/>
      <w:r>
        <w:rPr>
          <w:rStyle w:val="25"/>
          <w:rFonts w:hint="eastAsia" w:ascii="仿宋" w:hAnsi="仿宋" w:eastAsia="仿宋"/>
          <w:b w:val="0"/>
          <w:bCs w:val="0"/>
        </w:rPr>
        <w:t>十一、</w:t>
      </w:r>
      <w:bookmarkEnd w:id="66"/>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7" w:name="_Toc15396630"/>
      <w:r>
        <w:rPr>
          <w:rStyle w:val="25"/>
          <w:rFonts w:hint="eastAsia" w:ascii="仿宋" w:hAnsi="仿宋" w:eastAsia="仿宋"/>
          <w:b w:val="0"/>
          <w:bCs w:val="0"/>
        </w:rPr>
        <w:t>十二、</w:t>
      </w:r>
      <w:bookmarkEnd w:id="67"/>
      <w:r>
        <w:rPr>
          <w:rStyle w:val="25"/>
          <w:rFonts w:hint="eastAsia" w:ascii="仿宋" w:hAnsi="仿宋" w:eastAsia="仿宋"/>
          <w:b w:val="0"/>
          <w:bCs w:val="0"/>
        </w:rPr>
        <w:t>国有资本经营预算财政拨款支出决算表</w:t>
      </w:r>
    </w:p>
    <w:p>
      <w:pPr>
        <w:pStyle w:val="4"/>
        <w:rPr>
          <w:rStyle w:val="25"/>
          <w:rFonts w:hint="eastAsia" w:ascii="仿宋" w:hAnsi="仿宋" w:eastAsia="仿宋"/>
          <w:b w:val="0"/>
          <w:bCs w:val="0"/>
        </w:rPr>
      </w:pPr>
      <w:bookmarkStart w:id="68" w:name="_Toc15396631"/>
      <w:r>
        <w:rPr>
          <w:rStyle w:val="25"/>
          <w:rFonts w:hint="eastAsia" w:ascii="仿宋" w:hAnsi="仿宋" w:eastAsia="仿宋"/>
          <w:b w:val="0"/>
          <w:bCs w:val="0"/>
        </w:rPr>
        <w:t>十三、</w:t>
      </w:r>
      <w:bookmarkEnd w:id="68"/>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mNTY2MjA0MmRjZDlhYzNlY2E1MTM5NjBkNDg2ZDYifQ=="/>
  </w:docVars>
  <w:rsids>
    <w:rsidRoot w:val="00F1361C"/>
    <w:rsid w:val="000222C6"/>
    <w:rsid w:val="00024B6F"/>
    <w:rsid w:val="0002549F"/>
    <w:rsid w:val="00040D4C"/>
    <w:rsid w:val="000468DB"/>
    <w:rsid w:val="0006487A"/>
    <w:rsid w:val="00065F8F"/>
    <w:rsid w:val="00070A43"/>
    <w:rsid w:val="000768F2"/>
    <w:rsid w:val="000847C3"/>
    <w:rsid w:val="0009184B"/>
    <w:rsid w:val="00094236"/>
    <w:rsid w:val="0009593C"/>
    <w:rsid w:val="00097322"/>
    <w:rsid w:val="000A6A92"/>
    <w:rsid w:val="000B047F"/>
    <w:rsid w:val="000B1E5D"/>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57DF3"/>
    <w:rsid w:val="001654D1"/>
    <w:rsid w:val="00166E95"/>
    <w:rsid w:val="00170552"/>
    <w:rsid w:val="00174518"/>
    <w:rsid w:val="001766B9"/>
    <w:rsid w:val="0018106D"/>
    <w:rsid w:val="001877A7"/>
    <w:rsid w:val="00191536"/>
    <w:rsid w:val="00196687"/>
    <w:rsid w:val="001A2C0B"/>
    <w:rsid w:val="001C0962"/>
    <w:rsid w:val="001C35D6"/>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453B"/>
    <w:rsid w:val="00265372"/>
    <w:rsid w:val="002662AA"/>
    <w:rsid w:val="00280496"/>
    <w:rsid w:val="00294DC9"/>
    <w:rsid w:val="00295495"/>
    <w:rsid w:val="002A31DE"/>
    <w:rsid w:val="002B2613"/>
    <w:rsid w:val="002B604B"/>
    <w:rsid w:val="002D6D05"/>
    <w:rsid w:val="002F1818"/>
    <w:rsid w:val="002F567B"/>
    <w:rsid w:val="00315882"/>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32B"/>
    <w:rsid w:val="00485945"/>
    <w:rsid w:val="00487E5D"/>
    <w:rsid w:val="004A711F"/>
    <w:rsid w:val="004B199D"/>
    <w:rsid w:val="004B4690"/>
    <w:rsid w:val="004C2B0A"/>
    <w:rsid w:val="004C4F33"/>
    <w:rsid w:val="004E0A2D"/>
    <w:rsid w:val="004E206B"/>
    <w:rsid w:val="004E6677"/>
    <w:rsid w:val="004E6DF7"/>
    <w:rsid w:val="004F0FBD"/>
    <w:rsid w:val="00505A47"/>
    <w:rsid w:val="00512FDA"/>
    <w:rsid w:val="00520DA0"/>
    <w:rsid w:val="0052702B"/>
    <w:rsid w:val="005664BB"/>
    <w:rsid w:val="00566FFA"/>
    <w:rsid w:val="0057481D"/>
    <w:rsid w:val="00582392"/>
    <w:rsid w:val="0058486E"/>
    <w:rsid w:val="00585B33"/>
    <w:rsid w:val="0059014D"/>
    <w:rsid w:val="00595C37"/>
    <w:rsid w:val="005A049A"/>
    <w:rsid w:val="005B5C64"/>
    <w:rsid w:val="005C5337"/>
    <w:rsid w:val="005C6BD0"/>
    <w:rsid w:val="005D1C8B"/>
    <w:rsid w:val="005D468D"/>
    <w:rsid w:val="005D5CED"/>
    <w:rsid w:val="005F1A4C"/>
    <w:rsid w:val="005F79D5"/>
    <w:rsid w:val="00605688"/>
    <w:rsid w:val="006070AF"/>
    <w:rsid w:val="00607E6C"/>
    <w:rsid w:val="006101B1"/>
    <w:rsid w:val="00614E44"/>
    <w:rsid w:val="0062270A"/>
    <w:rsid w:val="00622830"/>
    <w:rsid w:val="00623DA0"/>
    <w:rsid w:val="006276F3"/>
    <w:rsid w:val="00630AEF"/>
    <w:rsid w:val="006325F8"/>
    <w:rsid w:val="00633463"/>
    <w:rsid w:val="00634C9A"/>
    <w:rsid w:val="006440E4"/>
    <w:rsid w:val="0066343B"/>
    <w:rsid w:val="00664777"/>
    <w:rsid w:val="00671524"/>
    <w:rsid w:val="006748A4"/>
    <w:rsid w:val="00676DCC"/>
    <w:rsid w:val="00681A31"/>
    <w:rsid w:val="00683E73"/>
    <w:rsid w:val="006935DC"/>
    <w:rsid w:val="006A3141"/>
    <w:rsid w:val="006A5E34"/>
    <w:rsid w:val="006B2422"/>
    <w:rsid w:val="006B2B9A"/>
    <w:rsid w:val="006C1937"/>
    <w:rsid w:val="006D7563"/>
    <w:rsid w:val="006E3DE4"/>
    <w:rsid w:val="006F020C"/>
    <w:rsid w:val="007127B7"/>
    <w:rsid w:val="0071798E"/>
    <w:rsid w:val="007416B6"/>
    <w:rsid w:val="00746F48"/>
    <w:rsid w:val="0075404D"/>
    <w:rsid w:val="0076182A"/>
    <w:rsid w:val="00763A6B"/>
    <w:rsid w:val="00767B7E"/>
    <w:rsid w:val="007770C3"/>
    <w:rsid w:val="00784D24"/>
    <w:rsid w:val="00785FBA"/>
    <w:rsid w:val="00786E4A"/>
    <w:rsid w:val="007875EB"/>
    <w:rsid w:val="0079426B"/>
    <w:rsid w:val="007966A1"/>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471BC"/>
    <w:rsid w:val="00951248"/>
    <w:rsid w:val="0095152F"/>
    <w:rsid w:val="00954C49"/>
    <w:rsid w:val="00955E37"/>
    <w:rsid w:val="009641D5"/>
    <w:rsid w:val="0097099F"/>
    <w:rsid w:val="00971997"/>
    <w:rsid w:val="00971FFC"/>
    <w:rsid w:val="00980214"/>
    <w:rsid w:val="0098660A"/>
    <w:rsid w:val="009931C3"/>
    <w:rsid w:val="009B2C43"/>
    <w:rsid w:val="009B4EAE"/>
    <w:rsid w:val="009B6435"/>
    <w:rsid w:val="009B7573"/>
    <w:rsid w:val="009C22F4"/>
    <w:rsid w:val="009C2A4B"/>
    <w:rsid w:val="009C2E98"/>
    <w:rsid w:val="009D15B6"/>
    <w:rsid w:val="009D3447"/>
    <w:rsid w:val="009D4711"/>
    <w:rsid w:val="009F1185"/>
    <w:rsid w:val="009F18CD"/>
    <w:rsid w:val="009F2A13"/>
    <w:rsid w:val="009F3C75"/>
    <w:rsid w:val="009F7527"/>
    <w:rsid w:val="00A04EB0"/>
    <w:rsid w:val="00A13CC1"/>
    <w:rsid w:val="00A16847"/>
    <w:rsid w:val="00A237D8"/>
    <w:rsid w:val="00A25E26"/>
    <w:rsid w:val="00A268C4"/>
    <w:rsid w:val="00A307CD"/>
    <w:rsid w:val="00A331C8"/>
    <w:rsid w:val="00A35860"/>
    <w:rsid w:val="00A40A00"/>
    <w:rsid w:val="00A4142F"/>
    <w:rsid w:val="00A422EB"/>
    <w:rsid w:val="00A45BB7"/>
    <w:rsid w:val="00A56DF2"/>
    <w:rsid w:val="00A56E6E"/>
    <w:rsid w:val="00A67AB5"/>
    <w:rsid w:val="00A733B2"/>
    <w:rsid w:val="00A741C2"/>
    <w:rsid w:val="00A77D22"/>
    <w:rsid w:val="00A91760"/>
    <w:rsid w:val="00A93B00"/>
    <w:rsid w:val="00A93C21"/>
    <w:rsid w:val="00AB64C9"/>
    <w:rsid w:val="00AC3C6A"/>
    <w:rsid w:val="00AC56CA"/>
    <w:rsid w:val="00AD5620"/>
    <w:rsid w:val="00AD656B"/>
    <w:rsid w:val="00AD7C1B"/>
    <w:rsid w:val="00AE16BA"/>
    <w:rsid w:val="00AE1EBE"/>
    <w:rsid w:val="00B03C9D"/>
    <w:rsid w:val="00B03E48"/>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77F69"/>
    <w:rsid w:val="00C87FD8"/>
    <w:rsid w:val="00C91381"/>
    <w:rsid w:val="00C91CBB"/>
    <w:rsid w:val="00CB4E70"/>
    <w:rsid w:val="00CC09B6"/>
    <w:rsid w:val="00CC666F"/>
    <w:rsid w:val="00CD1E3F"/>
    <w:rsid w:val="00CE44F6"/>
    <w:rsid w:val="00CE49DA"/>
    <w:rsid w:val="00CE7B61"/>
    <w:rsid w:val="00D00095"/>
    <w:rsid w:val="00D0745B"/>
    <w:rsid w:val="00D114F0"/>
    <w:rsid w:val="00D20620"/>
    <w:rsid w:val="00D254F7"/>
    <w:rsid w:val="00D26091"/>
    <w:rsid w:val="00D2685C"/>
    <w:rsid w:val="00D34E7C"/>
    <w:rsid w:val="00D35489"/>
    <w:rsid w:val="00D36AFE"/>
    <w:rsid w:val="00D51276"/>
    <w:rsid w:val="00D53753"/>
    <w:rsid w:val="00D6236E"/>
    <w:rsid w:val="00D7035F"/>
    <w:rsid w:val="00D806E6"/>
    <w:rsid w:val="00DA634F"/>
    <w:rsid w:val="00DA65AC"/>
    <w:rsid w:val="00DB1913"/>
    <w:rsid w:val="00DC410D"/>
    <w:rsid w:val="00DC5A81"/>
    <w:rsid w:val="00DC68CA"/>
    <w:rsid w:val="00DC7CBA"/>
    <w:rsid w:val="00DD53BD"/>
    <w:rsid w:val="00DD73B7"/>
    <w:rsid w:val="00DF28BC"/>
    <w:rsid w:val="00DF34B9"/>
    <w:rsid w:val="00E01053"/>
    <w:rsid w:val="00E07ACF"/>
    <w:rsid w:val="00E25B40"/>
    <w:rsid w:val="00E331A1"/>
    <w:rsid w:val="00E33202"/>
    <w:rsid w:val="00E336A9"/>
    <w:rsid w:val="00E35A42"/>
    <w:rsid w:val="00E472B1"/>
    <w:rsid w:val="00E50624"/>
    <w:rsid w:val="00E568DF"/>
    <w:rsid w:val="00E64269"/>
    <w:rsid w:val="00E64947"/>
    <w:rsid w:val="00E66201"/>
    <w:rsid w:val="00E82267"/>
    <w:rsid w:val="00E853CE"/>
    <w:rsid w:val="00E867B6"/>
    <w:rsid w:val="00E91DCD"/>
    <w:rsid w:val="00EA010F"/>
    <w:rsid w:val="00ED1B63"/>
    <w:rsid w:val="00ED3C1F"/>
    <w:rsid w:val="00ED4085"/>
    <w:rsid w:val="00ED420E"/>
    <w:rsid w:val="00ED6FBE"/>
    <w:rsid w:val="00EE2F57"/>
    <w:rsid w:val="00EF4C34"/>
    <w:rsid w:val="00EF6539"/>
    <w:rsid w:val="00EF77C6"/>
    <w:rsid w:val="00F05438"/>
    <w:rsid w:val="00F1361C"/>
    <w:rsid w:val="00F156F0"/>
    <w:rsid w:val="00F160C7"/>
    <w:rsid w:val="00F2408F"/>
    <w:rsid w:val="00F240E9"/>
    <w:rsid w:val="00F36D8F"/>
    <w:rsid w:val="00F417B1"/>
    <w:rsid w:val="00F42DFD"/>
    <w:rsid w:val="00F45853"/>
    <w:rsid w:val="00F602DF"/>
    <w:rsid w:val="00F66976"/>
    <w:rsid w:val="00F754A1"/>
    <w:rsid w:val="00F81FD9"/>
    <w:rsid w:val="00F841AA"/>
    <w:rsid w:val="00F84A94"/>
    <w:rsid w:val="00F87E96"/>
    <w:rsid w:val="00FA23E8"/>
    <w:rsid w:val="00FA42A1"/>
    <w:rsid w:val="00FB03C5"/>
    <w:rsid w:val="00FD3CC1"/>
    <w:rsid w:val="00FE7468"/>
    <w:rsid w:val="00FF1E02"/>
    <w:rsid w:val="00FF30B4"/>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6977022"/>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752</Words>
  <Characters>4292</Characters>
  <Lines>35</Lines>
  <Paragraphs>10</Paragraphs>
  <TotalTime>235</TotalTime>
  <ScaleCrop>false</ScaleCrop>
  <LinksUpToDate>false</LinksUpToDate>
  <CharactersWithSpaces>5034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飞飞鱼</cp:lastModifiedBy>
  <cp:lastPrinted>2023-07-31T02:35:00Z</cp:lastPrinted>
  <dcterms:modified xsi:type="dcterms:W3CDTF">2023-09-18T08:52:51Z</dcterms:modified>
  <dc:title>四川省***</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C009C3FD26CF4E8986390A129D6E1A21_12</vt:lpwstr>
  </property>
</Properties>
</file>