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eastAsia="方正小标宋简体"/>
          <w:szCs w:val="21"/>
        </w:rPr>
      </w:pPr>
      <w:bookmarkStart w:id="0"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bookmarkStart w:id="1" w:name="_Toc15377425"/>
      <w:bookmarkStart w:id="2" w:name="_Toc143854286"/>
      <w:bookmarkStart w:id="3" w:name="_Toc15377193"/>
      <w:bookmarkStart w:id="4" w:name="_Toc15396475"/>
      <w:bookmarkStart w:id="5" w:name="_Toc15378441"/>
      <w:bookmarkStart w:id="6" w:name="_Toc15396597"/>
      <w:r>
        <w:rPr>
          <w:rFonts w:eastAsia="方正小标宋简体"/>
          <w:sz w:val="72"/>
          <w:szCs w:val="72"/>
        </w:rPr>
        <w:t>2022年度</w:t>
      </w:r>
      <w:bookmarkEnd w:id="1"/>
      <w:bookmarkEnd w:id="2"/>
      <w:bookmarkEnd w:id="3"/>
      <w:bookmarkEnd w:id="4"/>
      <w:bookmarkEnd w:id="5"/>
      <w:bookmarkEnd w:id="6"/>
      <w:bookmarkStart w:id="7" w:name="_Toc15377426"/>
      <w:bookmarkStart w:id="8" w:name="_Toc143854287"/>
      <w:bookmarkStart w:id="9" w:name="_Toc15377194"/>
      <w:bookmarkStart w:id="10" w:name="_Toc15396598"/>
      <w:bookmarkStart w:id="11" w:name="_Toc15396476"/>
      <w:bookmarkStart w:id="12" w:name="_Toc15378442"/>
      <w:r>
        <w:rPr>
          <w:rFonts w:eastAsia="方正小标宋简体"/>
          <w:sz w:val="72"/>
          <w:szCs w:val="72"/>
        </w:rPr>
        <w:t>攀枝花市</w:t>
      </w:r>
      <w:bookmarkEnd w:id="0"/>
      <w:bookmarkStart w:id="13" w:name="_Toc15306268"/>
    </w:p>
    <w:p>
      <w:pPr>
        <w:adjustRightInd w:val="0"/>
        <w:snapToGrid w:val="0"/>
        <w:spacing w:line="360" w:lineRule="auto"/>
        <w:jc w:val="center"/>
        <w:outlineLvl w:val="0"/>
        <w:rPr>
          <w:rFonts w:eastAsia="方正小标宋简体"/>
          <w:sz w:val="72"/>
          <w:szCs w:val="72"/>
        </w:rPr>
      </w:pPr>
      <w:r>
        <w:rPr>
          <w:rFonts w:eastAsia="方正小标宋简体"/>
          <w:sz w:val="72"/>
          <w:szCs w:val="72"/>
        </w:rPr>
        <w:t>退役军人服务中心决算</w:t>
      </w:r>
      <w:bookmarkEnd w:id="7"/>
      <w:bookmarkEnd w:id="8"/>
      <w:bookmarkEnd w:id="9"/>
      <w:bookmarkEnd w:id="10"/>
      <w:bookmarkEnd w:id="11"/>
      <w:bookmarkEnd w:id="12"/>
      <w:bookmarkEnd w:id="13"/>
    </w:p>
    <w:p>
      <w:pPr>
        <w:widowControl/>
        <w:jc w:val="center"/>
        <w:rPr>
          <w:rFonts w:eastAsia="方正小标宋简体"/>
          <w:sz w:val="36"/>
          <w:szCs w:val="36"/>
        </w:rPr>
      </w:pPr>
      <w:r>
        <w:rPr>
          <w:rFonts w:eastAsia="方正小标宋简体"/>
          <w:sz w:val="36"/>
          <w:szCs w:val="36"/>
        </w:rPr>
        <w:br w:type="page"/>
      </w:r>
    </w:p>
    <w:sdt>
      <w:sdtPr>
        <w:rPr>
          <w:rFonts w:ascii="Times New Roman" w:hAnsi="Times New Roman" w:eastAsia="宋体" w:cs="Times New Roman"/>
          <w:b w:val="0"/>
          <w:bCs w:val="0"/>
          <w:color w:val="auto"/>
          <w:kern w:val="2"/>
          <w:sz w:val="21"/>
          <w:szCs w:val="24"/>
          <w:lang w:val="zh-CN"/>
        </w:rPr>
        <w:id w:val="9212593"/>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2"/>
            <w:jc w:val="center"/>
            <w:rPr>
              <w:rFonts w:ascii="Times New Roman" w:hAnsi="Times New Roman" w:cs="Times New Roman"/>
            </w:rPr>
          </w:pPr>
          <w:r>
            <w:rPr>
              <w:rFonts w:ascii="Times New Roman" w:hAnsi="Times New Roman" w:cs="Times New Roman"/>
              <w:lang w:val="zh-CN"/>
            </w:rPr>
            <w:t>目录</w:t>
          </w:r>
        </w:p>
        <w:p>
          <w:pPr>
            <w:pStyle w:val="10"/>
            <w:rPr>
              <w:rFonts w:ascii="Times New Roman" w:hAnsi="Times New Roman" w:eastAsiaTheme="minorEastAsia"/>
              <w:sz w:val="21"/>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Fonts w:ascii="Times New Roman" w:hAnsi="Times New Roman"/>
            </w:rPr>
            <w:t>公开时间：2023年9月</w:t>
          </w:r>
          <w:r>
            <w:rPr>
              <w:rFonts w:hint="eastAsia" w:ascii="Times New Roman" w:hAnsi="Times New Roman"/>
              <w:lang w:val="en-US" w:eastAsia="zh-CN"/>
            </w:rPr>
            <w:t>5</w:t>
          </w:r>
          <w:r>
            <w:rPr>
              <w:rFonts w:ascii="Times New Roman" w:hAnsi="Times New Roman"/>
            </w:rPr>
            <w:t>日</w:t>
          </w:r>
        </w:p>
        <w:p>
          <w:pPr>
            <w:pStyle w:val="10"/>
            <w:rPr>
              <w:rFonts w:ascii="Times New Roman" w:hAnsi="Times New Roman" w:eastAsiaTheme="minorEastAsia"/>
              <w:sz w:val="21"/>
              <w:szCs w:val="22"/>
            </w:rPr>
          </w:pPr>
        </w:p>
        <w:p>
          <w:pPr>
            <w:pStyle w:val="10"/>
            <w:rPr>
              <w:rFonts w:ascii="Times New Roman" w:hAnsi="Times New Roman" w:eastAsiaTheme="minorEastAsia"/>
              <w:sz w:val="21"/>
              <w:szCs w:val="22"/>
            </w:rPr>
          </w:pPr>
          <w:r>
            <w:fldChar w:fldCharType="begin"/>
          </w:r>
          <w:r>
            <w:instrText xml:space="preserve"> HYPERLINK \l "_Toc143854288" </w:instrText>
          </w:r>
          <w:r>
            <w:fldChar w:fldCharType="separate"/>
          </w:r>
          <w:r>
            <w:rPr>
              <w:rStyle w:val="16"/>
              <w:rFonts w:ascii="Times New Roman" w:hAnsi="Times New Roman" w:eastAsia="黑体"/>
            </w:rPr>
            <w:t>第一部分 单位概况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_Toc143854288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1"/>
            <w:rPr>
              <w:rFonts w:eastAsiaTheme="minorEastAsia"/>
              <w:szCs w:val="22"/>
            </w:rPr>
          </w:pPr>
          <w:r>
            <w:fldChar w:fldCharType="begin"/>
          </w:r>
          <w:r>
            <w:instrText xml:space="preserve"> HYPERLINK \l "_Toc143854289" </w:instrText>
          </w:r>
          <w:r>
            <w:fldChar w:fldCharType="separate"/>
          </w:r>
          <w:r>
            <w:rPr>
              <w:rStyle w:val="16"/>
              <w:rFonts w:eastAsia="黑体"/>
            </w:rPr>
            <w:t>一、主要职责</w:t>
          </w:r>
          <w:r>
            <w:tab/>
          </w:r>
          <w:r>
            <w:fldChar w:fldCharType="begin"/>
          </w:r>
          <w:r>
            <w:instrText xml:space="preserve"> PAGEREF _Toc143854289 \h </w:instrText>
          </w:r>
          <w:r>
            <w:fldChar w:fldCharType="separate"/>
          </w:r>
          <w:r>
            <w:t>3</w:t>
          </w:r>
          <w:r>
            <w:fldChar w:fldCharType="end"/>
          </w:r>
          <w:r>
            <w:fldChar w:fldCharType="end"/>
          </w:r>
        </w:p>
        <w:p>
          <w:pPr>
            <w:pStyle w:val="11"/>
            <w:rPr>
              <w:rFonts w:eastAsiaTheme="minorEastAsia"/>
              <w:szCs w:val="22"/>
            </w:rPr>
          </w:pPr>
          <w:r>
            <w:fldChar w:fldCharType="begin"/>
          </w:r>
          <w:r>
            <w:instrText xml:space="preserve"> HYPERLINK \l "_Toc143854290" </w:instrText>
          </w:r>
          <w:r>
            <w:fldChar w:fldCharType="separate"/>
          </w:r>
          <w:r>
            <w:rPr>
              <w:rStyle w:val="16"/>
              <w:rFonts w:eastAsia="黑体"/>
            </w:rPr>
            <w:t>二、机构设置</w:t>
          </w:r>
          <w:r>
            <w:tab/>
          </w:r>
          <w:r>
            <w:fldChar w:fldCharType="begin"/>
          </w:r>
          <w:r>
            <w:instrText xml:space="preserve"> PAGEREF _Toc143854290 \h </w:instrText>
          </w:r>
          <w:r>
            <w:fldChar w:fldCharType="separate"/>
          </w:r>
          <w:r>
            <w:t>3</w:t>
          </w:r>
          <w:r>
            <w:fldChar w:fldCharType="end"/>
          </w:r>
          <w:r>
            <w:fldChar w:fldCharType="end"/>
          </w:r>
        </w:p>
        <w:p>
          <w:pPr>
            <w:pStyle w:val="10"/>
            <w:rPr>
              <w:rFonts w:ascii="Times New Roman" w:hAnsi="Times New Roman" w:eastAsiaTheme="minorEastAsia"/>
              <w:sz w:val="21"/>
              <w:szCs w:val="22"/>
            </w:rPr>
          </w:pPr>
          <w:r>
            <w:fldChar w:fldCharType="begin"/>
          </w:r>
          <w:r>
            <w:instrText xml:space="preserve"> HYPERLINK \l "_Toc143854291" </w:instrText>
          </w:r>
          <w:r>
            <w:fldChar w:fldCharType="separate"/>
          </w:r>
          <w:r>
            <w:rPr>
              <w:rStyle w:val="16"/>
              <w:rFonts w:ascii="Times New Roman" w:hAnsi="Times New Roman" w:eastAsia="黑体"/>
            </w:rPr>
            <w:t>第二部分2022年度单位决算情况说明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_Toc143854291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1"/>
            <w:rPr>
              <w:rFonts w:eastAsiaTheme="minorEastAsia"/>
              <w:szCs w:val="22"/>
            </w:rPr>
          </w:pPr>
          <w:r>
            <w:fldChar w:fldCharType="begin"/>
          </w:r>
          <w:r>
            <w:instrText xml:space="preserve"> HYPERLINK \l "_Toc143854292" </w:instrText>
          </w:r>
          <w:r>
            <w:fldChar w:fldCharType="separate"/>
          </w:r>
          <w:r>
            <w:rPr>
              <w:rStyle w:val="16"/>
              <w:rFonts w:eastAsia="黑体"/>
              <w:bCs/>
            </w:rPr>
            <w:t>一、</w:t>
          </w:r>
          <w:r>
            <w:rPr>
              <w:rStyle w:val="16"/>
              <w:rFonts w:eastAsia="黑体"/>
            </w:rPr>
            <w:t>收</w:t>
          </w:r>
          <w:r>
            <w:rPr>
              <w:rStyle w:val="16"/>
              <w:rFonts w:eastAsia="黑体"/>
              <w:bCs/>
            </w:rPr>
            <w:t>入支出决算总体情况说明</w:t>
          </w:r>
          <w:r>
            <w:tab/>
          </w:r>
          <w:r>
            <w:fldChar w:fldCharType="begin"/>
          </w:r>
          <w:r>
            <w:instrText xml:space="preserve"> PAGEREF _Toc143854292 \h </w:instrText>
          </w:r>
          <w:r>
            <w:fldChar w:fldCharType="separate"/>
          </w:r>
          <w:r>
            <w:t>4</w:t>
          </w:r>
          <w:r>
            <w:fldChar w:fldCharType="end"/>
          </w:r>
          <w:r>
            <w:fldChar w:fldCharType="end"/>
          </w:r>
        </w:p>
        <w:p>
          <w:pPr>
            <w:pStyle w:val="11"/>
            <w:rPr>
              <w:rFonts w:eastAsiaTheme="minorEastAsia"/>
              <w:szCs w:val="22"/>
            </w:rPr>
          </w:pPr>
          <w:r>
            <w:fldChar w:fldCharType="begin"/>
          </w:r>
          <w:r>
            <w:instrText xml:space="preserve"> HYPERLINK \l "_Toc143854293" </w:instrText>
          </w:r>
          <w:r>
            <w:fldChar w:fldCharType="separate"/>
          </w:r>
          <w:r>
            <w:rPr>
              <w:rStyle w:val="16"/>
              <w:rFonts w:eastAsia="黑体"/>
              <w:bCs/>
            </w:rPr>
            <w:t>二、</w:t>
          </w:r>
          <w:r>
            <w:rPr>
              <w:rStyle w:val="16"/>
              <w:rFonts w:eastAsia="黑体"/>
            </w:rPr>
            <w:t>收</w:t>
          </w:r>
          <w:r>
            <w:rPr>
              <w:rStyle w:val="16"/>
              <w:rFonts w:eastAsia="黑体"/>
              <w:bCs/>
            </w:rPr>
            <w:t>入决算情况说明</w:t>
          </w:r>
          <w:r>
            <w:tab/>
          </w:r>
          <w:r>
            <w:fldChar w:fldCharType="begin"/>
          </w:r>
          <w:r>
            <w:instrText xml:space="preserve"> PAGEREF _Toc143854293 \h </w:instrText>
          </w:r>
          <w:r>
            <w:fldChar w:fldCharType="separate"/>
          </w:r>
          <w:r>
            <w:t>4</w:t>
          </w:r>
          <w:r>
            <w:fldChar w:fldCharType="end"/>
          </w:r>
          <w:r>
            <w:fldChar w:fldCharType="end"/>
          </w:r>
        </w:p>
        <w:p>
          <w:pPr>
            <w:pStyle w:val="11"/>
            <w:rPr>
              <w:rFonts w:eastAsiaTheme="minorEastAsia"/>
              <w:szCs w:val="22"/>
            </w:rPr>
          </w:pPr>
          <w:r>
            <w:fldChar w:fldCharType="begin"/>
          </w:r>
          <w:r>
            <w:instrText xml:space="preserve"> HYPERLINK \l "_Toc143854296" </w:instrText>
          </w:r>
          <w:r>
            <w:fldChar w:fldCharType="separate"/>
          </w:r>
          <w:r>
            <w:rPr>
              <w:rStyle w:val="16"/>
              <w:rFonts w:eastAsia="黑体"/>
              <w:bCs/>
            </w:rPr>
            <w:t>三、</w:t>
          </w:r>
          <w:r>
            <w:rPr>
              <w:rStyle w:val="16"/>
              <w:rFonts w:eastAsia="黑体"/>
            </w:rPr>
            <w:t>支</w:t>
          </w:r>
          <w:r>
            <w:rPr>
              <w:rStyle w:val="16"/>
              <w:rFonts w:eastAsia="黑体"/>
              <w:bCs/>
            </w:rPr>
            <w:t>出决算情况说明</w:t>
          </w:r>
          <w:r>
            <w:tab/>
          </w:r>
          <w:r>
            <w:fldChar w:fldCharType="begin"/>
          </w:r>
          <w:r>
            <w:instrText xml:space="preserve"> PAGEREF _Toc143854296 \h </w:instrText>
          </w:r>
          <w:r>
            <w:fldChar w:fldCharType="separate"/>
          </w:r>
          <w:r>
            <w:t>5</w:t>
          </w:r>
          <w:r>
            <w:fldChar w:fldCharType="end"/>
          </w:r>
          <w:r>
            <w:fldChar w:fldCharType="end"/>
          </w:r>
        </w:p>
        <w:p>
          <w:pPr>
            <w:pStyle w:val="11"/>
            <w:rPr>
              <w:rFonts w:eastAsiaTheme="minorEastAsia"/>
              <w:szCs w:val="22"/>
            </w:rPr>
          </w:pPr>
          <w:r>
            <w:fldChar w:fldCharType="begin"/>
          </w:r>
          <w:r>
            <w:instrText xml:space="preserve"> HYPERLINK \l "_Toc143854299" </w:instrText>
          </w:r>
          <w:r>
            <w:fldChar w:fldCharType="separate"/>
          </w:r>
          <w:r>
            <w:rPr>
              <w:rStyle w:val="16"/>
              <w:rFonts w:eastAsia="黑体"/>
            </w:rPr>
            <w:t>四、财</w:t>
          </w:r>
          <w:r>
            <w:rPr>
              <w:rStyle w:val="16"/>
              <w:rFonts w:eastAsia="黑体"/>
              <w:bCs/>
            </w:rPr>
            <w:t>政拨款收入支出决算总体情况说明</w:t>
          </w:r>
          <w:r>
            <w:tab/>
          </w:r>
          <w:r>
            <w:fldChar w:fldCharType="begin"/>
          </w:r>
          <w:r>
            <w:instrText xml:space="preserve"> PAGEREF _Toc143854299 \h </w:instrText>
          </w:r>
          <w:r>
            <w:fldChar w:fldCharType="separate"/>
          </w:r>
          <w:r>
            <w:t>5</w:t>
          </w:r>
          <w:r>
            <w:fldChar w:fldCharType="end"/>
          </w:r>
          <w:r>
            <w:fldChar w:fldCharType="end"/>
          </w:r>
        </w:p>
        <w:p>
          <w:pPr>
            <w:pStyle w:val="11"/>
            <w:rPr>
              <w:rFonts w:eastAsiaTheme="minorEastAsia"/>
              <w:szCs w:val="22"/>
            </w:rPr>
          </w:pPr>
          <w:r>
            <w:fldChar w:fldCharType="begin"/>
          </w:r>
          <w:r>
            <w:instrText xml:space="preserve"> HYPERLINK \l "_Toc143854300" </w:instrText>
          </w:r>
          <w:r>
            <w:fldChar w:fldCharType="separate"/>
          </w:r>
          <w:r>
            <w:rPr>
              <w:rStyle w:val="16"/>
              <w:rFonts w:eastAsia="黑体"/>
            </w:rPr>
            <w:t>五、</w:t>
          </w:r>
          <w:r>
            <w:rPr>
              <w:rStyle w:val="16"/>
              <w:rFonts w:eastAsia="黑体"/>
              <w:b/>
            </w:rPr>
            <w:t>一</w:t>
          </w:r>
          <w:r>
            <w:rPr>
              <w:rStyle w:val="16"/>
              <w:rFonts w:eastAsia="黑体"/>
              <w:bCs/>
            </w:rPr>
            <w:t>般公共预算财政拨款支出决算情况说明</w:t>
          </w:r>
          <w:r>
            <w:tab/>
          </w:r>
          <w:r>
            <w:fldChar w:fldCharType="begin"/>
          </w:r>
          <w:r>
            <w:instrText xml:space="preserve"> PAGEREF _Toc143854300 \h </w:instrText>
          </w:r>
          <w:r>
            <w:fldChar w:fldCharType="separate"/>
          </w:r>
          <w:r>
            <w:t>6</w:t>
          </w:r>
          <w:r>
            <w:fldChar w:fldCharType="end"/>
          </w:r>
          <w:r>
            <w:fldChar w:fldCharType="end"/>
          </w:r>
        </w:p>
        <w:p>
          <w:pPr>
            <w:pStyle w:val="11"/>
            <w:rPr>
              <w:rFonts w:eastAsiaTheme="minorEastAsia"/>
              <w:szCs w:val="22"/>
            </w:rPr>
          </w:pPr>
          <w:r>
            <w:fldChar w:fldCharType="begin"/>
          </w:r>
          <w:r>
            <w:instrText xml:space="preserve"> HYPERLINK \l "_Toc143854305" </w:instrText>
          </w:r>
          <w:r>
            <w:fldChar w:fldCharType="separate"/>
          </w:r>
          <w:r>
            <w:rPr>
              <w:rStyle w:val="16"/>
              <w:rFonts w:eastAsia="黑体"/>
            </w:rPr>
            <w:t>六</w:t>
          </w:r>
          <w:r>
            <w:rPr>
              <w:rStyle w:val="16"/>
              <w:rFonts w:eastAsia="黑体"/>
              <w:b/>
            </w:rPr>
            <w:t>、一</w:t>
          </w:r>
          <w:r>
            <w:rPr>
              <w:rStyle w:val="16"/>
              <w:rFonts w:eastAsia="黑体"/>
              <w:bCs/>
            </w:rPr>
            <w:t>般公共预算财政拨款基本支出决算情况说明</w:t>
          </w:r>
          <w:r>
            <w:tab/>
          </w:r>
          <w:r>
            <w:fldChar w:fldCharType="begin"/>
          </w:r>
          <w:r>
            <w:instrText xml:space="preserve"> PAGEREF _Toc143854305 \h </w:instrText>
          </w:r>
          <w:r>
            <w:fldChar w:fldCharType="separate"/>
          </w:r>
          <w:r>
            <w:t>8</w:t>
          </w:r>
          <w:r>
            <w:fldChar w:fldCharType="end"/>
          </w:r>
          <w:r>
            <w:fldChar w:fldCharType="end"/>
          </w:r>
        </w:p>
        <w:p>
          <w:pPr>
            <w:pStyle w:val="11"/>
            <w:rPr>
              <w:rFonts w:eastAsiaTheme="minorEastAsia"/>
              <w:szCs w:val="22"/>
            </w:rPr>
          </w:pPr>
          <w:r>
            <w:fldChar w:fldCharType="begin"/>
          </w:r>
          <w:r>
            <w:instrText xml:space="preserve"> HYPERLINK \l "_Toc143854306" </w:instrText>
          </w:r>
          <w:r>
            <w:fldChar w:fldCharType="separate"/>
          </w:r>
          <w:r>
            <w:rPr>
              <w:rStyle w:val="16"/>
              <w:rFonts w:eastAsia="黑体"/>
            </w:rPr>
            <w:t>七、</w:t>
          </w:r>
          <w:r>
            <w:rPr>
              <w:rStyle w:val="16"/>
              <w:rFonts w:eastAsia="黑体"/>
              <w:bCs/>
            </w:rPr>
            <w:t>财政拨款</w:t>
          </w:r>
          <w:r>
            <w:rPr>
              <w:rStyle w:val="16"/>
              <w:rFonts w:eastAsia="黑体"/>
              <w:b/>
              <w:bCs/>
            </w:rPr>
            <w:t>“</w:t>
          </w:r>
          <w:r>
            <w:rPr>
              <w:rStyle w:val="16"/>
              <w:rFonts w:eastAsia="黑体"/>
              <w:bCs/>
            </w:rPr>
            <w:t>三公”经费支出决算情况说明</w:t>
          </w:r>
          <w:r>
            <w:tab/>
          </w:r>
          <w:r>
            <w:fldChar w:fldCharType="begin"/>
          </w:r>
          <w:r>
            <w:instrText xml:space="preserve"> PAGEREF _Toc143854306 \h </w:instrText>
          </w:r>
          <w:r>
            <w:fldChar w:fldCharType="separate"/>
          </w:r>
          <w:r>
            <w:t>8</w:t>
          </w:r>
          <w:r>
            <w:fldChar w:fldCharType="end"/>
          </w:r>
          <w:r>
            <w:fldChar w:fldCharType="end"/>
          </w:r>
        </w:p>
        <w:p>
          <w:pPr>
            <w:pStyle w:val="11"/>
            <w:rPr>
              <w:rFonts w:eastAsiaTheme="minorEastAsia"/>
              <w:szCs w:val="22"/>
            </w:rPr>
          </w:pPr>
          <w:r>
            <w:fldChar w:fldCharType="begin"/>
          </w:r>
          <w:r>
            <w:instrText xml:space="preserve"> HYPERLINK \l "_Toc143854309" </w:instrText>
          </w:r>
          <w:r>
            <w:fldChar w:fldCharType="separate"/>
          </w:r>
          <w:r>
            <w:rPr>
              <w:rStyle w:val="16"/>
              <w:rFonts w:eastAsia="黑体"/>
            </w:rPr>
            <w:t>八、</w:t>
          </w:r>
          <w:r>
            <w:rPr>
              <w:rStyle w:val="16"/>
              <w:rFonts w:eastAsia="黑体"/>
              <w:bCs/>
            </w:rPr>
            <w:t>政府性基金预算支出决算情况说明</w:t>
          </w:r>
          <w:r>
            <w:tab/>
          </w:r>
          <w:r>
            <w:fldChar w:fldCharType="begin"/>
          </w:r>
          <w:r>
            <w:instrText xml:space="preserve"> PAGEREF _Toc143854309 \h </w:instrText>
          </w:r>
          <w:r>
            <w:fldChar w:fldCharType="separate"/>
          </w:r>
          <w:r>
            <w:t>10</w:t>
          </w:r>
          <w:r>
            <w:fldChar w:fldCharType="end"/>
          </w:r>
          <w:r>
            <w:fldChar w:fldCharType="end"/>
          </w:r>
        </w:p>
        <w:p>
          <w:pPr>
            <w:pStyle w:val="11"/>
            <w:rPr>
              <w:rFonts w:eastAsiaTheme="minorEastAsia"/>
              <w:szCs w:val="22"/>
            </w:rPr>
          </w:pPr>
          <w:r>
            <w:fldChar w:fldCharType="begin"/>
          </w:r>
          <w:r>
            <w:instrText xml:space="preserve"> HYPERLINK \l "_Toc143854310" </w:instrText>
          </w:r>
          <w:r>
            <w:fldChar w:fldCharType="separate"/>
          </w:r>
          <w:r>
            <w:rPr>
              <w:rStyle w:val="16"/>
              <w:rFonts w:eastAsia="黑体"/>
              <w:bCs/>
            </w:rPr>
            <w:t>九、 国有资本经营预算支出决算情况说明</w:t>
          </w:r>
          <w:r>
            <w:tab/>
          </w:r>
          <w:r>
            <w:fldChar w:fldCharType="begin"/>
          </w:r>
          <w:r>
            <w:instrText xml:space="preserve"> PAGEREF _Toc143854310 \h </w:instrText>
          </w:r>
          <w:r>
            <w:fldChar w:fldCharType="separate"/>
          </w:r>
          <w:r>
            <w:t>10</w:t>
          </w:r>
          <w:r>
            <w:fldChar w:fldCharType="end"/>
          </w:r>
          <w:r>
            <w:fldChar w:fldCharType="end"/>
          </w:r>
        </w:p>
        <w:p>
          <w:pPr>
            <w:pStyle w:val="11"/>
            <w:rPr>
              <w:rFonts w:eastAsiaTheme="minorEastAsia"/>
              <w:szCs w:val="22"/>
            </w:rPr>
          </w:pPr>
          <w:r>
            <w:fldChar w:fldCharType="begin"/>
          </w:r>
          <w:r>
            <w:instrText xml:space="preserve"> HYPERLINK \l "_Toc143854311" </w:instrText>
          </w:r>
          <w:r>
            <w:fldChar w:fldCharType="separate"/>
          </w:r>
          <w:r>
            <w:rPr>
              <w:rStyle w:val="16"/>
              <w:rFonts w:eastAsia="黑体"/>
              <w:bCs/>
            </w:rPr>
            <w:t>十、 其他重要事项的情况说明</w:t>
          </w:r>
          <w:r>
            <w:tab/>
          </w:r>
          <w:r>
            <w:fldChar w:fldCharType="begin"/>
          </w:r>
          <w:r>
            <w:instrText xml:space="preserve"> PAGEREF _Toc143854311 \h </w:instrText>
          </w:r>
          <w:r>
            <w:fldChar w:fldCharType="separate"/>
          </w:r>
          <w:r>
            <w:t>10</w:t>
          </w:r>
          <w:r>
            <w:fldChar w:fldCharType="end"/>
          </w:r>
          <w:r>
            <w:fldChar w:fldCharType="end"/>
          </w:r>
        </w:p>
        <w:p>
          <w:pPr>
            <w:pStyle w:val="10"/>
            <w:rPr>
              <w:rFonts w:ascii="Times New Roman" w:hAnsi="Times New Roman" w:eastAsiaTheme="minorEastAsia"/>
              <w:sz w:val="21"/>
              <w:szCs w:val="22"/>
            </w:rPr>
          </w:pPr>
          <w:r>
            <w:fldChar w:fldCharType="begin"/>
          </w:r>
          <w:r>
            <w:instrText xml:space="preserve"> HYPERLINK \l "_Toc143854316" </w:instrText>
          </w:r>
          <w:r>
            <w:fldChar w:fldCharType="separate"/>
          </w:r>
          <w:r>
            <w:rPr>
              <w:rStyle w:val="16"/>
              <w:rFonts w:ascii="Times New Roman" w:hAnsi="Times New Roman" w:eastAsia="黑体"/>
              <w:bCs/>
              <w:kern w:val="44"/>
            </w:rPr>
            <w:t>第三部分</w:t>
          </w:r>
          <w:r>
            <w:rPr>
              <w:rStyle w:val="16"/>
              <w:rFonts w:ascii="Times New Roman" w:hAnsi="Times New Roman" w:eastAsia="黑体"/>
            </w:rPr>
            <w:t xml:space="preserve"> 名</w:t>
          </w:r>
          <w:r>
            <w:rPr>
              <w:rStyle w:val="16"/>
              <w:rFonts w:ascii="Times New Roman" w:hAnsi="Times New Roman" w:eastAsia="黑体"/>
              <w:bCs/>
              <w:kern w:val="44"/>
            </w:rPr>
            <w:t>词解释</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_Toc143854316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0"/>
            <w:rPr>
              <w:rFonts w:ascii="Times New Roman" w:hAnsi="Times New Roman" w:eastAsiaTheme="minorEastAsia"/>
              <w:sz w:val="21"/>
              <w:szCs w:val="22"/>
            </w:rPr>
          </w:pPr>
          <w:r>
            <w:fldChar w:fldCharType="begin"/>
          </w:r>
          <w:r>
            <w:instrText xml:space="preserve"> HYPERLINK \l "_Toc143854317" </w:instrText>
          </w:r>
          <w:r>
            <w:fldChar w:fldCharType="separate"/>
          </w:r>
          <w:r>
            <w:rPr>
              <w:rStyle w:val="16"/>
              <w:rFonts w:ascii="Times New Roman" w:hAnsi="Times New Roman" w:eastAsia="黑体"/>
            </w:rPr>
            <w:t>第</w:t>
          </w:r>
          <w:r>
            <w:rPr>
              <w:rStyle w:val="16"/>
              <w:rFonts w:ascii="Times New Roman" w:hAnsi="Times New Roman" w:eastAsia="黑体"/>
              <w:bCs/>
              <w:kern w:val="44"/>
            </w:rPr>
            <w:t>四部分 附件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_Toc143854317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0"/>
            <w:rPr>
              <w:rFonts w:ascii="Times New Roman" w:hAnsi="Times New Roman" w:eastAsiaTheme="minorEastAsia"/>
              <w:sz w:val="21"/>
              <w:szCs w:val="22"/>
            </w:rPr>
          </w:pPr>
          <w:r>
            <w:fldChar w:fldCharType="begin"/>
          </w:r>
          <w:r>
            <w:instrText xml:space="preserve"> HYPERLINK \l "_Toc143854320" </w:instrText>
          </w:r>
          <w:r>
            <w:fldChar w:fldCharType="separate"/>
          </w:r>
          <w:r>
            <w:rPr>
              <w:rStyle w:val="16"/>
              <w:rFonts w:ascii="Times New Roman" w:hAnsi="Times New Roman" w:eastAsia="黑体"/>
            </w:rPr>
            <w:t>第</w:t>
          </w:r>
          <w:r>
            <w:rPr>
              <w:rStyle w:val="16"/>
              <w:rFonts w:ascii="Times New Roman" w:hAnsi="Times New Roman" w:eastAsia="黑体"/>
              <w:bCs/>
              <w:kern w:val="44"/>
            </w:rPr>
            <w:t>五部分 附表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_Toc143854320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1"/>
            <w:rPr>
              <w:rStyle w:val="16"/>
              <w:rFonts w:eastAsia="黑体"/>
              <w:bCs/>
            </w:rPr>
          </w:pPr>
          <w:r>
            <w:fldChar w:fldCharType="begin"/>
          </w:r>
          <w:r>
            <w:instrText xml:space="preserve"> HYPERLINK \l "_Toc143854321" </w:instrText>
          </w:r>
          <w:r>
            <w:fldChar w:fldCharType="separate"/>
          </w:r>
          <w:r>
            <w:rPr>
              <w:rStyle w:val="16"/>
              <w:rFonts w:eastAsia="黑体"/>
              <w:bCs/>
            </w:rPr>
            <w:t>一、收入支出决算总表</w:t>
          </w:r>
          <w:r>
            <w:rPr>
              <w:rStyle w:val="16"/>
              <w:rFonts w:eastAsia="黑体"/>
              <w:bCs/>
            </w:rPr>
            <w:tab/>
          </w:r>
          <w:r>
            <w:rPr>
              <w:rStyle w:val="16"/>
              <w:rFonts w:eastAsia="黑体"/>
              <w:bCs/>
            </w:rPr>
            <w:fldChar w:fldCharType="begin"/>
          </w:r>
          <w:r>
            <w:rPr>
              <w:rStyle w:val="16"/>
              <w:rFonts w:eastAsia="黑体"/>
              <w:bCs/>
            </w:rPr>
            <w:instrText xml:space="preserve"> PAGEREF _Toc143854321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"_Toc143854322" </w:instrText>
          </w:r>
          <w:r>
            <w:fldChar w:fldCharType="separate"/>
          </w:r>
          <w:r>
            <w:rPr>
              <w:rStyle w:val="16"/>
              <w:rFonts w:eastAsia="黑体"/>
              <w:bCs/>
            </w:rPr>
            <w:t>二、收入决算表</w:t>
          </w:r>
          <w:r>
            <w:rPr>
              <w:rStyle w:val="16"/>
              <w:rFonts w:eastAsia="黑体"/>
              <w:bCs/>
            </w:rPr>
            <w:tab/>
          </w:r>
          <w:r>
            <w:rPr>
              <w:rStyle w:val="16"/>
              <w:rFonts w:eastAsia="黑体"/>
              <w:bCs/>
            </w:rPr>
            <w:fldChar w:fldCharType="begin"/>
          </w:r>
          <w:r>
            <w:rPr>
              <w:rStyle w:val="16"/>
              <w:rFonts w:eastAsia="黑体"/>
              <w:bCs/>
            </w:rPr>
            <w:instrText xml:space="preserve"> PAGEREF _Toc143854322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"_Toc143854323" </w:instrText>
          </w:r>
          <w:r>
            <w:fldChar w:fldCharType="separate"/>
          </w:r>
          <w:r>
            <w:rPr>
              <w:rStyle w:val="16"/>
              <w:rFonts w:eastAsia="黑体"/>
              <w:bCs/>
            </w:rPr>
            <w:t>三、支出决算表</w:t>
          </w:r>
          <w:r>
            <w:rPr>
              <w:rStyle w:val="16"/>
              <w:rFonts w:eastAsia="黑体"/>
              <w:bCs/>
            </w:rPr>
            <w:tab/>
          </w:r>
          <w:r>
            <w:rPr>
              <w:rStyle w:val="16"/>
              <w:rFonts w:eastAsia="黑体"/>
              <w:bCs/>
            </w:rPr>
            <w:fldChar w:fldCharType="begin"/>
          </w:r>
          <w:r>
            <w:rPr>
              <w:rStyle w:val="16"/>
              <w:rFonts w:eastAsia="黑体"/>
              <w:bCs/>
            </w:rPr>
            <w:instrText xml:space="preserve"> PAGEREF _Toc143854323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"_Toc143854324" </w:instrText>
          </w:r>
          <w:r>
            <w:fldChar w:fldCharType="separate"/>
          </w:r>
          <w:r>
            <w:rPr>
              <w:rStyle w:val="16"/>
              <w:rFonts w:eastAsia="黑体"/>
              <w:bCs/>
            </w:rPr>
            <w:t>四、财政拨款收入支出决算总表</w:t>
          </w:r>
          <w:r>
            <w:rPr>
              <w:rStyle w:val="16"/>
              <w:rFonts w:eastAsia="黑体"/>
              <w:bCs/>
            </w:rPr>
            <w:tab/>
          </w:r>
          <w:r>
            <w:rPr>
              <w:rStyle w:val="16"/>
              <w:rFonts w:eastAsia="黑体"/>
              <w:bCs/>
            </w:rPr>
            <w:fldChar w:fldCharType="begin"/>
          </w:r>
          <w:r>
            <w:rPr>
              <w:rStyle w:val="16"/>
              <w:rFonts w:eastAsia="黑体"/>
              <w:bCs/>
            </w:rPr>
            <w:instrText xml:space="preserve"> PAGEREF _Toc143854324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"_Toc143854325" </w:instrText>
          </w:r>
          <w:r>
            <w:fldChar w:fldCharType="separate"/>
          </w:r>
          <w:r>
            <w:rPr>
              <w:rStyle w:val="16"/>
              <w:rFonts w:eastAsia="黑体"/>
              <w:bCs/>
            </w:rPr>
            <w:t>五、财政拨款支出决算明细表</w:t>
          </w:r>
          <w:r>
            <w:rPr>
              <w:rStyle w:val="16"/>
              <w:rFonts w:eastAsia="黑体"/>
              <w:bCs/>
            </w:rPr>
            <w:tab/>
          </w:r>
          <w:r>
            <w:rPr>
              <w:rStyle w:val="16"/>
              <w:rFonts w:eastAsia="黑体"/>
              <w:bCs/>
            </w:rPr>
            <w:fldChar w:fldCharType="begin"/>
          </w:r>
          <w:r>
            <w:rPr>
              <w:rStyle w:val="16"/>
              <w:rFonts w:eastAsia="黑体"/>
              <w:bCs/>
            </w:rPr>
            <w:instrText xml:space="preserve"> PAGEREF _Toc143854325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"_Toc143854326" </w:instrText>
          </w:r>
          <w:r>
            <w:fldChar w:fldCharType="separate"/>
          </w:r>
          <w:r>
            <w:rPr>
              <w:rStyle w:val="16"/>
              <w:rFonts w:eastAsia="黑体"/>
              <w:bCs/>
            </w:rPr>
            <w:t>六、一般公共预算财政拨款支出决算表</w:t>
          </w:r>
          <w:r>
            <w:rPr>
              <w:rStyle w:val="16"/>
              <w:rFonts w:eastAsia="黑体"/>
              <w:bCs/>
            </w:rPr>
            <w:tab/>
          </w:r>
          <w:r>
            <w:rPr>
              <w:rStyle w:val="16"/>
              <w:rFonts w:eastAsia="黑体"/>
              <w:bCs/>
            </w:rPr>
            <w:fldChar w:fldCharType="begin"/>
          </w:r>
          <w:r>
            <w:rPr>
              <w:rStyle w:val="16"/>
              <w:rFonts w:eastAsia="黑体"/>
              <w:bCs/>
            </w:rPr>
            <w:instrText xml:space="preserve"> PAGEREF _Toc143854326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"_Toc143854327" </w:instrText>
          </w:r>
          <w:r>
            <w:fldChar w:fldCharType="separate"/>
          </w:r>
          <w:r>
            <w:rPr>
              <w:rStyle w:val="16"/>
              <w:rFonts w:eastAsia="黑体"/>
              <w:bCs/>
            </w:rPr>
            <w:t>七、一般公共预算财政拨款支出决算明细表</w:t>
          </w:r>
          <w:r>
            <w:rPr>
              <w:rStyle w:val="16"/>
              <w:rFonts w:eastAsia="黑体"/>
              <w:bCs/>
            </w:rPr>
            <w:tab/>
          </w:r>
          <w:r>
            <w:rPr>
              <w:rStyle w:val="16"/>
              <w:rFonts w:eastAsia="黑体"/>
              <w:bCs/>
            </w:rPr>
            <w:fldChar w:fldCharType="begin"/>
          </w:r>
          <w:r>
            <w:rPr>
              <w:rStyle w:val="16"/>
              <w:rFonts w:eastAsia="黑体"/>
              <w:bCs/>
            </w:rPr>
            <w:instrText xml:space="preserve"> PAGEREF _Toc143854327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"_Toc143854328" </w:instrText>
          </w:r>
          <w:r>
            <w:fldChar w:fldCharType="separate"/>
          </w:r>
          <w:r>
            <w:rPr>
              <w:rStyle w:val="16"/>
              <w:rFonts w:eastAsia="黑体"/>
              <w:bCs/>
            </w:rPr>
            <w:t>八、一般公共预算财政拨款基本支出决算表</w:t>
          </w:r>
          <w:r>
            <w:rPr>
              <w:rStyle w:val="16"/>
              <w:rFonts w:eastAsia="黑体"/>
              <w:bCs/>
            </w:rPr>
            <w:tab/>
          </w:r>
          <w:r>
            <w:rPr>
              <w:rStyle w:val="16"/>
              <w:rFonts w:eastAsia="黑体"/>
              <w:bCs/>
            </w:rPr>
            <w:fldChar w:fldCharType="begin"/>
          </w:r>
          <w:r>
            <w:rPr>
              <w:rStyle w:val="16"/>
              <w:rFonts w:eastAsia="黑体"/>
              <w:bCs/>
            </w:rPr>
            <w:instrText xml:space="preserve"> PAGEREF _Toc143854328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"_Toc143854329" </w:instrText>
          </w:r>
          <w:r>
            <w:fldChar w:fldCharType="separate"/>
          </w:r>
          <w:r>
            <w:rPr>
              <w:rStyle w:val="16"/>
              <w:rFonts w:eastAsia="黑体"/>
              <w:bCs/>
            </w:rPr>
            <w:t>九、一般公共预算财政拨款项目支出决算表</w:t>
          </w:r>
          <w:r>
            <w:rPr>
              <w:rStyle w:val="16"/>
              <w:rFonts w:eastAsia="黑体"/>
              <w:bCs/>
            </w:rPr>
            <w:tab/>
          </w:r>
          <w:r>
            <w:rPr>
              <w:rStyle w:val="16"/>
              <w:rFonts w:eastAsia="黑体"/>
              <w:bCs/>
            </w:rPr>
            <w:fldChar w:fldCharType="begin"/>
          </w:r>
          <w:r>
            <w:rPr>
              <w:rStyle w:val="16"/>
              <w:rFonts w:eastAsia="黑体"/>
              <w:bCs/>
            </w:rPr>
            <w:instrText xml:space="preserve"> PAGEREF _Toc143854329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"_Toc143854330" </w:instrText>
          </w:r>
          <w:r>
            <w:fldChar w:fldCharType="separate"/>
          </w:r>
          <w:r>
            <w:rPr>
              <w:rStyle w:val="16"/>
              <w:rFonts w:eastAsia="黑体"/>
              <w:bCs/>
            </w:rPr>
            <w:t>十、政府性基金预算财政拨款收入支出决算表</w:t>
          </w:r>
          <w:r>
            <w:rPr>
              <w:rStyle w:val="16"/>
              <w:rFonts w:eastAsia="黑体"/>
              <w:bCs/>
            </w:rPr>
            <w:tab/>
          </w:r>
          <w:r>
            <w:rPr>
              <w:rStyle w:val="16"/>
              <w:rFonts w:eastAsia="黑体"/>
              <w:bCs/>
            </w:rPr>
            <w:fldChar w:fldCharType="begin"/>
          </w:r>
          <w:r>
            <w:rPr>
              <w:rStyle w:val="16"/>
              <w:rFonts w:eastAsia="黑体"/>
              <w:bCs/>
            </w:rPr>
            <w:instrText xml:space="preserve"> PAGEREF _Toc143854330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"_Toc143854331" </w:instrText>
          </w:r>
          <w:r>
            <w:fldChar w:fldCharType="separate"/>
          </w:r>
          <w:r>
            <w:rPr>
              <w:rStyle w:val="16"/>
              <w:rFonts w:eastAsia="黑体"/>
              <w:bCs/>
            </w:rPr>
            <w:t>十一、国有资本经营预算财政拨款收入支出决算表</w:t>
          </w:r>
          <w:r>
            <w:rPr>
              <w:rStyle w:val="16"/>
              <w:rFonts w:eastAsia="黑体"/>
              <w:bCs/>
            </w:rPr>
            <w:tab/>
          </w:r>
          <w:r>
            <w:rPr>
              <w:rStyle w:val="16"/>
              <w:rFonts w:eastAsia="黑体"/>
              <w:bCs/>
            </w:rPr>
            <w:fldChar w:fldCharType="begin"/>
          </w:r>
          <w:r>
            <w:rPr>
              <w:rStyle w:val="16"/>
              <w:rFonts w:eastAsia="黑体"/>
              <w:bCs/>
            </w:rPr>
            <w:instrText xml:space="preserve"> PAGEREF _Toc143854331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"_Toc143854332" </w:instrText>
          </w:r>
          <w:r>
            <w:fldChar w:fldCharType="separate"/>
          </w:r>
          <w:r>
            <w:rPr>
              <w:rStyle w:val="16"/>
              <w:rFonts w:eastAsia="黑体"/>
              <w:bCs/>
            </w:rPr>
            <w:t>十二、国有资本经营预算财政拨款支出决算表</w:t>
          </w:r>
          <w:r>
            <w:rPr>
              <w:rStyle w:val="16"/>
              <w:rFonts w:eastAsia="黑体"/>
              <w:bCs/>
            </w:rPr>
            <w:tab/>
          </w:r>
          <w:r>
            <w:rPr>
              <w:rStyle w:val="16"/>
              <w:rFonts w:eastAsia="黑体"/>
              <w:bCs/>
            </w:rPr>
            <w:fldChar w:fldCharType="begin"/>
          </w:r>
          <w:r>
            <w:rPr>
              <w:rStyle w:val="16"/>
              <w:rFonts w:eastAsia="黑体"/>
              <w:bCs/>
            </w:rPr>
            <w:instrText xml:space="preserve"> PAGEREF _Toc143854332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pPr>
            <w:pStyle w:val="11"/>
            <w:rPr>
              <w:rStyle w:val="16"/>
              <w:rFonts w:eastAsia="黑体"/>
              <w:bCs/>
            </w:rPr>
          </w:pPr>
          <w:r>
            <w:fldChar w:fldCharType="begin"/>
          </w:r>
          <w:r>
            <w:instrText xml:space="preserve"> HYPERLINK \l "_Toc143854333" </w:instrText>
          </w:r>
          <w:r>
            <w:fldChar w:fldCharType="separate"/>
          </w:r>
          <w:r>
            <w:rPr>
              <w:rStyle w:val="16"/>
              <w:rFonts w:eastAsia="黑体"/>
              <w:bCs/>
            </w:rPr>
            <w:t>十三、财政拨款“三公”经费支出决算表</w:t>
          </w:r>
          <w:r>
            <w:rPr>
              <w:rStyle w:val="16"/>
              <w:rFonts w:eastAsia="黑体"/>
              <w:bCs/>
            </w:rPr>
            <w:tab/>
          </w:r>
          <w:r>
            <w:rPr>
              <w:rStyle w:val="16"/>
              <w:rFonts w:eastAsia="黑体"/>
              <w:bCs/>
            </w:rPr>
            <w:fldChar w:fldCharType="begin"/>
          </w:r>
          <w:r>
            <w:rPr>
              <w:rStyle w:val="16"/>
              <w:rFonts w:eastAsia="黑体"/>
              <w:bCs/>
            </w:rPr>
            <w:instrText xml:space="preserve"> PAGEREF _Toc143854333 \h </w:instrText>
          </w:r>
          <w:r>
            <w:rPr>
              <w:rStyle w:val="16"/>
              <w:rFonts w:eastAsia="黑体"/>
              <w:bCs/>
            </w:rPr>
            <w:fldChar w:fldCharType="separate"/>
          </w:r>
          <w:r>
            <w:rPr>
              <w:rStyle w:val="16"/>
              <w:rFonts w:eastAsia="黑体"/>
              <w:bCs/>
            </w:rPr>
            <w:t>15</w:t>
          </w:r>
          <w:r>
            <w:rPr>
              <w:rStyle w:val="16"/>
              <w:rFonts w:eastAsia="黑体"/>
              <w:bCs/>
            </w:rPr>
            <w:fldChar w:fldCharType="end"/>
          </w:r>
          <w:r>
            <w:rPr>
              <w:rStyle w:val="16"/>
              <w:rFonts w:eastAsia="黑体"/>
              <w:bCs/>
            </w:rPr>
            <w:fldChar w:fldCharType="end"/>
          </w:r>
        </w:p>
        <w:p>
          <w:r>
            <w:fldChar w:fldCharType="end"/>
          </w:r>
        </w:p>
      </w:sdtContent>
    </w:sdt>
    <w:p>
      <w:pPr>
        <w:pStyle w:val="3"/>
        <w:ind w:left="360"/>
        <w:jc w:val="center"/>
        <w:rPr>
          <w:rStyle w:val="18"/>
          <w:rFonts w:eastAsia="黑体"/>
          <w:b w:val="0"/>
          <w:bCs w:val="0"/>
        </w:rPr>
      </w:pPr>
      <w:bookmarkStart w:id="14" w:name="_Toc15396599"/>
      <w:bookmarkStart w:id="15" w:name="_Toc15377196"/>
      <w:bookmarkStart w:id="16" w:name="_Toc143854288"/>
      <w:r>
        <w:rPr>
          <w:rFonts w:eastAsia="黑体"/>
          <w:b w:val="0"/>
        </w:rPr>
        <w:t>第一部分单位</w:t>
      </w:r>
      <w:r>
        <w:rPr>
          <w:rStyle w:val="18"/>
          <w:rFonts w:eastAsia="黑体"/>
          <w:b w:val="0"/>
          <w:bCs w:val="0"/>
        </w:rPr>
        <w:t>概况</w:t>
      </w:r>
      <w:bookmarkEnd w:id="14"/>
      <w:bookmarkEnd w:id="15"/>
      <w:bookmarkEnd w:id="16"/>
      <w:bookmarkStart w:id="17" w:name="_Toc143854289"/>
      <w:bookmarkStart w:id="18" w:name="_Toc15396600"/>
      <w:bookmarkStart w:id="19" w:name="_Toc15377197"/>
    </w:p>
    <w:bookmarkEnd w:id="17"/>
    <w:p>
      <w:pPr>
        <w:spacing w:line="640" w:lineRule="exact"/>
        <w:ind w:firstLine="640" w:firstLineChars="200"/>
        <w:rPr>
          <w:rStyle w:val="19"/>
          <w:rFonts w:ascii="Times New Roman" w:hAnsi="Times New Roman" w:eastAsia="黑体" w:cs="Times New Roman"/>
          <w:b w:val="0"/>
        </w:rPr>
      </w:pPr>
      <w:r>
        <w:rPr>
          <w:rStyle w:val="19"/>
          <w:rFonts w:hint="eastAsia" w:ascii="Times New Roman" w:hAnsi="Times New Roman" w:eastAsia="黑体" w:cs="Times New Roman"/>
          <w:b w:val="0"/>
        </w:rPr>
        <w:t>一、主要职责</w:t>
      </w:r>
    </w:p>
    <w:p>
      <w:pPr>
        <w:spacing w:line="640" w:lineRule="exact"/>
        <w:ind w:firstLine="640" w:firstLineChars="200"/>
        <w:rPr>
          <w:rFonts w:eastAsia="仿宋_GB2312"/>
          <w:sz w:val="32"/>
          <w:szCs w:val="32"/>
        </w:rPr>
      </w:pPr>
      <w:r>
        <w:rPr>
          <w:rFonts w:eastAsia="仿宋_GB2312"/>
          <w:sz w:val="32"/>
          <w:szCs w:val="32"/>
        </w:rPr>
        <w:t>攀枝花市退役军人服务中心主要职责为：协助办理退役军人行政关系、组织关系、供给关系转接和档案移交等事务性工作；受理退役军人来信来访登记及退役军人政策咨询；提供就业创业服务，开展职业教育和技能培训，搭建就业创业、困难退役军人军属帮扶援助平台；协助开展退役军人和其他优抚对象信息数据采集、资料管理、汇总分析；指导下级退役军人服务中心（站）业务工作。</w:t>
      </w:r>
      <w:bookmarkStart w:id="20" w:name="_Toc143854290"/>
    </w:p>
    <w:p>
      <w:pPr>
        <w:spacing w:line="640" w:lineRule="exact"/>
        <w:ind w:firstLine="640" w:firstLineChars="200"/>
        <w:rPr>
          <w:rStyle w:val="19"/>
          <w:rFonts w:ascii="Times New Roman" w:hAnsi="Times New Roman" w:eastAsia="黑体" w:cs="Times New Roman"/>
          <w:b w:val="0"/>
        </w:rPr>
      </w:pPr>
      <w:r>
        <w:rPr>
          <w:rStyle w:val="19"/>
          <w:rFonts w:hint="eastAsia" w:ascii="Times New Roman" w:hAnsi="Times New Roman" w:eastAsia="黑体" w:cs="Times New Roman"/>
          <w:b w:val="0"/>
        </w:rPr>
        <w:t>二、机构设置</w:t>
      </w:r>
      <w:bookmarkEnd w:id="20"/>
    </w:p>
    <w:p>
      <w:pPr>
        <w:spacing w:line="640" w:lineRule="exact"/>
        <w:ind w:firstLine="640" w:firstLineChars="200"/>
        <w:rPr>
          <w:rFonts w:eastAsia="仿宋_GB2312"/>
          <w:sz w:val="32"/>
          <w:szCs w:val="32"/>
        </w:rPr>
      </w:pPr>
      <w:r>
        <w:rPr>
          <w:rFonts w:eastAsia="仿宋_GB2312"/>
          <w:sz w:val="32"/>
          <w:szCs w:val="32"/>
        </w:rPr>
        <w:t>内设机构为4个：办公室、服务一科、服务二科、服务三科；核定事业编制1</w:t>
      </w:r>
      <w:r>
        <w:rPr>
          <w:rFonts w:hint="eastAsia" w:eastAsia="仿宋_GB2312"/>
          <w:sz w:val="32"/>
          <w:szCs w:val="32"/>
        </w:rPr>
        <w:t>6</w:t>
      </w:r>
      <w:r>
        <w:rPr>
          <w:rFonts w:eastAsia="仿宋_GB2312"/>
          <w:sz w:val="32"/>
          <w:szCs w:val="32"/>
        </w:rPr>
        <w:t>名，党政领导职数2名（正职按副县级干部管理），内设机构科级职数</w:t>
      </w:r>
      <w:r>
        <w:rPr>
          <w:rFonts w:hint="eastAsia" w:eastAsia="仿宋_GB2312"/>
          <w:sz w:val="32"/>
          <w:szCs w:val="32"/>
        </w:rPr>
        <w:t>7</w:t>
      </w:r>
      <w:r>
        <w:rPr>
          <w:rFonts w:eastAsia="仿宋_GB2312"/>
          <w:sz w:val="32"/>
          <w:szCs w:val="32"/>
        </w:rPr>
        <w:t>名。</w:t>
      </w:r>
    </w:p>
    <w:p>
      <w:pPr>
        <w:spacing w:line="640" w:lineRule="exact"/>
        <w:ind w:firstLine="420" w:firstLineChars="200"/>
      </w:pPr>
    </w:p>
    <w:bookmarkEnd w:id="18"/>
    <w:bookmarkEnd w:id="19"/>
    <w:p>
      <w:pPr>
        <w:widowControl/>
        <w:spacing w:line="640" w:lineRule="exact"/>
        <w:ind w:firstLine="640" w:firstLineChars="200"/>
        <w:jc w:val="left"/>
        <w:rPr>
          <w:rFonts w:eastAsia="仿宋"/>
          <w:kern w:val="0"/>
          <w:sz w:val="32"/>
          <w:szCs w:val="32"/>
        </w:rPr>
      </w:pPr>
      <w:r>
        <w:rPr>
          <w:rFonts w:eastAsia="仿宋"/>
          <w:sz w:val="32"/>
          <w:szCs w:val="32"/>
        </w:rPr>
        <w:br w:type="page"/>
      </w:r>
    </w:p>
    <w:p>
      <w:pPr>
        <w:pStyle w:val="3"/>
        <w:ind w:right="440"/>
        <w:jc w:val="center"/>
        <w:rPr>
          <w:rStyle w:val="18"/>
          <w:rFonts w:eastAsia="黑体"/>
          <w:b w:val="0"/>
          <w:bCs/>
        </w:rPr>
      </w:pPr>
      <w:bookmarkStart w:id="21" w:name="_Toc15396602"/>
      <w:bookmarkStart w:id="22" w:name="_Toc143854291"/>
      <w:bookmarkStart w:id="23" w:name="_Toc15377204"/>
      <w:r>
        <w:rPr>
          <w:rFonts w:eastAsia="黑体"/>
          <w:b w:val="0"/>
        </w:rPr>
        <w:t>第二部分2022年度</w:t>
      </w:r>
      <w:r>
        <w:rPr>
          <w:rStyle w:val="18"/>
          <w:rFonts w:eastAsia="黑体"/>
          <w:b w:val="0"/>
          <w:bCs/>
        </w:rPr>
        <w:t>单位决算情况说明</w:t>
      </w:r>
      <w:bookmarkEnd w:id="21"/>
      <w:bookmarkEnd w:id="22"/>
      <w:bookmarkEnd w:id="23"/>
    </w:p>
    <w:p/>
    <w:p>
      <w:pPr>
        <w:pStyle w:val="28"/>
        <w:numPr>
          <w:ilvl w:val="0"/>
          <w:numId w:val="1"/>
        </w:numPr>
        <w:spacing w:line="600" w:lineRule="exact"/>
        <w:ind w:firstLineChars="0"/>
        <w:outlineLvl w:val="1"/>
        <w:rPr>
          <w:rStyle w:val="19"/>
          <w:rFonts w:ascii="Times New Roman" w:hAnsi="Times New Roman" w:eastAsia="黑体" w:cs="Times New Roman"/>
          <w:b w:val="0"/>
        </w:rPr>
      </w:pPr>
      <w:bookmarkStart w:id="24" w:name="_Toc15377205"/>
      <w:bookmarkStart w:id="25" w:name="_Toc15396603"/>
      <w:bookmarkStart w:id="26" w:name="_Toc143854292"/>
      <w:r>
        <w:rPr>
          <w:rFonts w:eastAsia="黑体"/>
          <w:sz w:val="32"/>
          <w:szCs w:val="32"/>
        </w:rPr>
        <w:t>收</w:t>
      </w:r>
      <w:r>
        <w:rPr>
          <w:rStyle w:val="19"/>
          <w:rFonts w:ascii="Times New Roman" w:hAnsi="Times New Roman" w:eastAsia="黑体" w:cs="Times New Roman"/>
          <w:b w:val="0"/>
        </w:rPr>
        <w:t>入支出决算总体情况说明</w:t>
      </w:r>
      <w:bookmarkEnd w:id="24"/>
      <w:bookmarkEnd w:id="25"/>
      <w:bookmarkEnd w:id="26"/>
    </w:p>
    <w:p>
      <w:pPr>
        <w:spacing w:line="600" w:lineRule="exact"/>
        <w:ind w:firstLine="640" w:firstLineChars="200"/>
        <w:rPr>
          <w:rFonts w:eastAsia="仿宋"/>
          <w:sz w:val="32"/>
          <w:szCs w:val="32"/>
        </w:rPr>
      </w:pPr>
      <w:r>
        <w:rPr>
          <w:rFonts w:eastAsia="仿宋"/>
          <w:sz w:val="32"/>
          <w:szCs w:val="32"/>
        </w:rPr>
        <w:t>2022年度收入总计</w:t>
      </w:r>
      <w:r>
        <w:rPr>
          <w:rFonts w:eastAsia="仿宋"/>
          <w:color w:val="000000" w:themeColor="text1"/>
          <w:sz w:val="32"/>
          <w:szCs w:val="32"/>
        </w:rPr>
        <w:t>350.75万</w:t>
      </w:r>
      <w:r>
        <w:rPr>
          <w:rFonts w:eastAsia="仿宋"/>
          <w:sz w:val="32"/>
          <w:szCs w:val="32"/>
        </w:rPr>
        <w:t>元。与2021年相比，收入总计增加22.93万元，增长7%。主要变动原因是人员经费有所增加，项目经费支出12.92万元。2022年度本年支出总计366.69万元，增长12%，主要变动原因是人员经费有所增加，项目经费支出12.92万元。</w:t>
      </w:r>
    </w:p>
    <w:p>
      <w:pPr>
        <w:spacing w:line="600" w:lineRule="exact"/>
        <w:ind w:firstLine="640" w:firstLineChars="200"/>
        <w:rPr>
          <w:rFonts w:eastAsia="仿宋"/>
          <w:sz w:val="32"/>
          <w:szCs w:val="32"/>
        </w:rPr>
      </w:pPr>
      <w:r>
        <w:rPr>
          <w:rFonts w:eastAsia="仿宋"/>
          <w:sz w:val="32"/>
          <w:szCs w:val="32"/>
        </w:rPr>
        <w:t>图1：收、支决算总计变动情况图</w:t>
      </w:r>
    </w:p>
    <w:p>
      <w:pPr>
        <w:pStyle w:val="2"/>
        <w:spacing w:before="93"/>
        <w:rPr>
          <w:rFonts w:ascii="Times New Roman"/>
        </w:rPr>
      </w:pPr>
      <w:r>
        <w:rPr>
          <w:rFonts w:ascii="Times New Roman"/>
          <w:sz w:val="32"/>
          <w:szCs w:val="32"/>
        </w:rPr>
        <w:drawing>
          <wp:inline distT="0" distB="0" distL="0" distR="0">
            <wp:extent cx="4029075" cy="1819275"/>
            <wp:effectExtent l="19050" t="0" r="9525"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8"/>
        <w:numPr>
          <w:ilvl w:val="0"/>
          <w:numId w:val="1"/>
        </w:numPr>
        <w:spacing w:line="600" w:lineRule="exact"/>
        <w:ind w:firstLineChars="0"/>
        <w:outlineLvl w:val="1"/>
        <w:rPr>
          <w:rStyle w:val="19"/>
          <w:rFonts w:ascii="Times New Roman" w:hAnsi="Times New Roman" w:eastAsia="黑体" w:cs="Times New Roman"/>
          <w:b w:val="0"/>
        </w:rPr>
      </w:pPr>
      <w:bookmarkStart w:id="27" w:name="_Toc15377206"/>
      <w:bookmarkStart w:id="28" w:name="_Toc15396604"/>
      <w:bookmarkStart w:id="29" w:name="_Toc143854293"/>
      <w:r>
        <w:rPr>
          <w:rFonts w:eastAsia="黑体"/>
          <w:sz w:val="32"/>
          <w:szCs w:val="32"/>
        </w:rPr>
        <w:t>收</w:t>
      </w:r>
      <w:r>
        <w:rPr>
          <w:rStyle w:val="19"/>
          <w:rFonts w:ascii="Times New Roman" w:hAnsi="Times New Roman" w:eastAsia="黑体" w:cs="Times New Roman"/>
          <w:b w:val="0"/>
        </w:rPr>
        <w:t>入决算情况说明</w:t>
      </w:r>
      <w:bookmarkEnd w:id="27"/>
      <w:bookmarkEnd w:id="28"/>
      <w:bookmarkEnd w:id="29"/>
    </w:p>
    <w:p>
      <w:pPr>
        <w:spacing w:line="600" w:lineRule="exact"/>
        <w:ind w:firstLine="640" w:firstLineChars="200"/>
        <w:outlineLvl w:val="1"/>
        <w:rPr>
          <w:rFonts w:eastAsia="仿宋"/>
          <w:sz w:val="32"/>
          <w:szCs w:val="32"/>
        </w:rPr>
      </w:pPr>
      <w:bookmarkStart w:id="30" w:name="_Toc143854294"/>
      <w:r>
        <w:rPr>
          <w:rFonts w:eastAsia="仿宋"/>
          <w:sz w:val="32"/>
          <w:szCs w:val="32"/>
        </w:rPr>
        <w:t>2022年本年收入合计350.75万元，其中：一般公共预算财政拨款收入350.75万元，占100%。</w:t>
      </w:r>
      <w:bookmarkEnd w:id="30"/>
    </w:p>
    <w:p>
      <w:pPr>
        <w:spacing w:line="600" w:lineRule="exact"/>
        <w:ind w:firstLine="640" w:firstLineChars="200"/>
        <w:rPr>
          <w:rFonts w:eastAsia="仿宋_GB2312"/>
          <w:sz w:val="32"/>
          <w:szCs w:val="32"/>
        </w:rPr>
      </w:pPr>
      <w:r>
        <w:rPr>
          <w:rFonts w:eastAsia="仿宋"/>
          <w:sz w:val="32"/>
          <w:szCs w:val="32"/>
        </w:rPr>
        <w:t>图2：收入决算结构图</w:t>
      </w:r>
    </w:p>
    <w:p>
      <w:pPr>
        <w:pStyle w:val="2"/>
        <w:spacing w:before="93"/>
        <w:rPr>
          <w:rFonts w:ascii="Times New Roman"/>
        </w:rPr>
      </w:pPr>
      <w:r>
        <w:rPr>
          <w:rFonts w:ascii="Times New Roman"/>
        </w:rPr>
        <w:drawing>
          <wp:inline distT="0" distB="0" distL="0" distR="0">
            <wp:extent cx="4200525" cy="18002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
        <w:spacing w:before="93"/>
        <w:rPr>
          <w:rFonts w:ascii="Times New Roman"/>
        </w:rPr>
      </w:pPr>
    </w:p>
    <w:p>
      <w:pPr>
        <w:pStyle w:val="28"/>
        <w:numPr>
          <w:ilvl w:val="0"/>
          <w:numId w:val="1"/>
        </w:numPr>
        <w:spacing w:line="600" w:lineRule="exact"/>
        <w:ind w:firstLineChars="0"/>
        <w:outlineLvl w:val="1"/>
        <w:rPr>
          <w:rStyle w:val="19"/>
          <w:rFonts w:ascii="Times New Roman" w:hAnsi="Times New Roman" w:eastAsia="黑体" w:cs="Times New Roman"/>
          <w:b w:val="0"/>
        </w:rPr>
      </w:pPr>
      <w:bookmarkStart w:id="31" w:name="_Toc143854296"/>
      <w:bookmarkStart w:id="32" w:name="_Toc15377207"/>
      <w:bookmarkStart w:id="33" w:name="_Toc15396605"/>
      <w:r>
        <w:rPr>
          <w:rFonts w:eastAsia="黑体"/>
          <w:sz w:val="32"/>
          <w:szCs w:val="32"/>
        </w:rPr>
        <w:t>支</w:t>
      </w:r>
      <w:r>
        <w:rPr>
          <w:rStyle w:val="19"/>
          <w:rFonts w:ascii="Times New Roman" w:hAnsi="Times New Roman" w:eastAsia="黑体" w:cs="Times New Roman"/>
          <w:b w:val="0"/>
        </w:rPr>
        <w:t>出决算情况说明</w:t>
      </w:r>
      <w:bookmarkEnd w:id="31"/>
      <w:bookmarkEnd w:id="32"/>
      <w:bookmarkEnd w:id="33"/>
    </w:p>
    <w:p>
      <w:pPr>
        <w:spacing w:line="600" w:lineRule="exact"/>
        <w:ind w:firstLine="640" w:firstLineChars="200"/>
        <w:outlineLvl w:val="1"/>
        <w:rPr>
          <w:rFonts w:eastAsia="仿宋"/>
          <w:sz w:val="32"/>
          <w:szCs w:val="32"/>
        </w:rPr>
      </w:pPr>
      <w:bookmarkStart w:id="34" w:name="_Toc143854297"/>
      <w:r>
        <w:rPr>
          <w:rFonts w:eastAsia="仿宋"/>
          <w:sz w:val="32"/>
          <w:szCs w:val="32"/>
        </w:rPr>
        <w:t>2022年本年支出合计366.69万元，其中：基本支出353.77万元，占96%；项目支出12.92万元，占4%。</w:t>
      </w:r>
      <w:bookmarkEnd w:id="34"/>
    </w:p>
    <w:p>
      <w:pPr>
        <w:spacing w:line="600" w:lineRule="exact"/>
        <w:ind w:firstLine="640" w:firstLineChars="200"/>
        <w:rPr>
          <w:rFonts w:eastAsia="仿宋"/>
          <w:sz w:val="32"/>
          <w:szCs w:val="32"/>
        </w:rPr>
      </w:pPr>
      <w:r>
        <w:rPr>
          <w:rFonts w:eastAsia="仿宋"/>
          <w:sz w:val="32"/>
          <w:szCs w:val="32"/>
        </w:rPr>
        <w:t>图3：支出决算结构图</w:t>
      </w:r>
    </w:p>
    <w:p>
      <w:pPr>
        <w:pStyle w:val="2"/>
        <w:spacing w:before="93"/>
        <w:rPr>
          <w:rFonts w:ascii="Times New Roman"/>
        </w:rPr>
      </w:pPr>
      <w:r>
        <w:rPr>
          <w:rFonts w:ascii="Times New Roman"/>
        </w:rPr>
        <w:drawing>
          <wp:inline distT="0" distB="0" distL="0" distR="0">
            <wp:extent cx="4200525" cy="2200275"/>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19"/>
          <w:rFonts w:ascii="Times New Roman" w:hAnsi="Times New Roman" w:eastAsia="黑体" w:cs="Times New Roman"/>
          <w:b w:val="0"/>
        </w:rPr>
      </w:pPr>
      <w:bookmarkStart w:id="35" w:name="_Toc143854299"/>
      <w:bookmarkStart w:id="36" w:name="_Toc15396606"/>
      <w:bookmarkStart w:id="37" w:name="_Toc15377208"/>
      <w:r>
        <w:rPr>
          <w:rFonts w:eastAsia="黑体"/>
          <w:sz w:val="32"/>
          <w:szCs w:val="32"/>
        </w:rPr>
        <w:t>四、财</w:t>
      </w:r>
      <w:r>
        <w:rPr>
          <w:rStyle w:val="19"/>
          <w:rFonts w:ascii="Times New Roman" w:hAnsi="Times New Roman" w:eastAsia="黑体" w:cs="Times New Roman"/>
          <w:b w:val="0"/>
        </w:rPr>
        <w:t>政拨款收入支出决算总体情况说明</w:t>
      </w:r>
      <w:bookmarkEnd w:id="35"/>
      <w:bookmarkEnd w:id="36"/>
      <w:bookmarkEnd w:id="37"/>
    </w:p>
    <w:p>
      <w:pPr>
        <w:spacing w:line="600" w:lineRule="exact"/>
        <w:ind w:firstLine="640"/>
        <w:rPr>
          <w:rFonts w:eastAsia="仿宋"/>
          <w:b/>
          <w:sz w:val="32"/>
          <w:szCs w:val="32"/>
        </w:rPr>
      </w:pPr>
      <w:r>
        <w:rPr>
          <w:rFonts w:eastAsia="仿宋"/>
          <w:sz w:val="32"/>
          <w:szCs w:val="32"/>
        </w:rPr>
        <w:t>2022年财政拨款收入总计350.75万元，财政拨款支出总计366.69万元。与2021年相比，财政拨款收入增加22.93万元，增长7%，财政拨款支出总计增加38.87万元，增长12%。主要变动原因是人员经费有所增加，项目经费支出12.92万元。</w:t>
      </w:r>
    </w:p>
    <w:p>
      <w:pPr>
        <w:spacing w:line="600" w:lineRule="exact"/>
        <w:ind w:firstLine="640" w:firstLineChars="200"/>
        <w:rPr>
          <w:rFonts w:eastAsia="仿宋"/>
          <w:sz w:val="32"/>
          <w:szCs w:val="32"/>
        </w:rPr>
      </w:pPr>
      <w:r>
        <w:rPr>
          <w:rFonts w:eastAsia="仿宋"/>
          <w:sz w:val="32"/>
          <w:szCs w:val="32"/>
        </w:rPr>
        <w:t>图4：财政拨款收、支决算总计变动情况</w:t>
      </w:r>
    </w:p>
    <w:p>
      <w:pPr>
        <w:pStyle w:val="2"/>
        <w:spacing w:before="93"/>
        <w:rPr>
          <w:rFonts w:ascii="Times New Roman"/>
        </w:rPr>
      </w:pPr>
      <w:r>
        <w:rPr>
          <w:rFonts w:ascii="Times New Roman"/>
        </w:rPr>
        <w:drawing>
          <wp:inline distT="0" distB="0" distL="0" distR="0">
            <wp:extent cx="4333875" cy="2190750"/>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rPr>
          <w:rFonts w:ascii="Times New Roman"/>
        </w:rPr>
      </w:pPr>
    </w:p>
    <w:p>
      <w:pPr>
        <w:spacing w:line="600" w:lineRule="exact"/>
        <w:ind w:firstLine="640" w:firstLineChars="200"/>
        <w:outlineLvl w:val="1"/>
        <w:rPr>
          <w:rStyle w:val="19"/>
          <w:rFonts w:ascii="Times New Roman" w:hAnsi="Times New Roman" w:eastAsia="黑体" w:cs="Times New Roman"/>
          <w:b w:val="0"/>
        </w:rPr>
      </w:pPr>
      <w:bookmarkStart w:id="38" w:name="_Toc15377209"/>
      <w:bookmarkStart w:id="39" w:name="_Toc15396607"/>
      <w:bookmarkStart w:id="40" w:name="_Toc143854300"/>
      <w:r>
        <w:rPr>
          <w:rFonts w:eastAsia="黑体"/>
          <w:sz w:val="32"/>
          <w:szCs w:val="32"/>
        </w:rPr>
        <w:t>五、</w:t>
      </w:r>
      <w:r>
        <w:rPr>
          <w:rFonts w:eastAsia="黑体"/>
          <w:b/>
          <w:sz w:val="32"/>
          <w:szCs w:val="32"/>
        </w:rPr>
        <w:t>一</w:t>
      </w:r>
      <w:r>
        <w:rPr>
          <w:rStyle w:val="19"/>
          <w:rFonts w:ascii="Times New Roman" w:hAnsi="Times New Roman" w:eastAsia="黑体" w:cs="Times New Roman"/>
          <w:b w:val="0"/>
        </w:rPr>
        <w:t>般公共预算财政拨款支出决算情况说明</w:t>
      </w:r>
      <w:bookmarkEnd w:id="38"/>
      <w:bookmarkEnd w:id="39"/>
      <w:bookmarkEnd w:id="40"/>
    </w:p>
    <w:p>
      <w:pPr>
        <w:spacing w:line="600" w:lineRule="exact"/>
        <w:ind w:firstLine="642" w:firstLineChars="200"/>
        <w:outlineLvl w:val="2"/>
        <w:rPr>
          <w:rFonts w:eastAsia="仿宋"/>
          <w:b/>
          <w:sz w:val="32"/>
          <w:szCs w:val="32"/>
        </w:rPr>
      </w:pPr>
      <w:bookmarkStart w:id="41" w:name="_Toc143854301"/>
      <w:bookmarkStart w:id="42" w:name="_Toc15377210"/>
      <w:r>
        <w:rPr>
          <w:rFonts w:eastAsia="仿宋"/>
          <w:b/>
          <w:sz w:val="32"/>
          <w:szCs w:val="32"/>
        </w:rPr>
        <w:t>（一）一般公共预算财政拨款支出决算总体情况</w:t>
      </w:r>
      <w:bookmarkEnd w:id="41"/>
      <w:bookmarkEnd w:id="42"/>
    </w:p>
    <w:p>
      <w:pPr>
        <w:spacing w:line="600" w:lineRule="exact"/>
        <w:ind w:firstLine="640" w:firstLineChars="200"/>
        <w:rPr>
          <w:rFonts w:eastAsia="仿宋"/>
          <w:sz w:val="32"/>
          <w:szCs w:val="32"/>
        </w:rPr>
      </w:pPr>
      <w:r>
        <w:rPr>
          <w:rFonts w:eastAsia="仿宋"/>
          <w:sz w:val="32"/>
          <w:szCs w:val="32"/>
        </w:rPr>
        <w:t>2022年一般公共预算财政拨款支出366.69万元，占本年支出合计的100%。与2021年相比，一般公共预算财政拨款支出增加38.87万元，增长12%。主要变动原因是人员经费有所增加，项目经费支出12.92万元。</w:t>
      </w:r>
    </w:p>
    <w:p>
      <w:pPr>
        <w:spacing w:line="600" w:lineRule="exact"/>
        <w:ind w:firstLine="640" w:firstLineChars="200"/>
        <w:rPr>
          <w:rFonts w:eastAsia="仿宋"/>
          <w:sz w:val="32"/>
          <w:szCs w:val="32"/>
        </w:rPr>
      </w:pPr>
      <w:r>
        <w:rPr>
          <w:rFonts w:eastAsia="仿宋"/>
          <w:sz w:val="32"/>
          <w:szCs w:val="32"/>
        </w:rPr>
        <w:t>图5：一般公共预算财政拨款支出决算变动情况</w:t>
      </w:r>
    </w:p>
    <w:p>
      <w:pPr>
        <w:pStyle w:val="2"/>
        <w:spacing w:before="93"/>
        <w:rPr>
          <w:rFonts w:ascii="Times New Roman"/>
        </w:rPr>
      </w:pPr>
      <w:r>
        <w:rPr>
          <w:rFonts w:ascii="Times New Roman" w:eastAsia="仿宋"/>
          <w:sz w:val="32"/>
          <w:szCs w:val="32"/>
        </w:rPr>
        <w:drawing>
          <wp:inline distT="0" distB="0" distL="0" distR="0">
            <wp:extent cx="4229100" cy="2009775"/>
            <wp:effectExtent l="19050" t="0" r="19050" b="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spacing w:before="93"/>
        <w:rPr>
          <w:rFonts w:ascii="Times New Roman"/>
        </w:rPr>
      </w:pPr>
    </w:p>
    <w:p>
      <w:pPr>
        <w:spacing w:line="600" w:lineRule="exact"/>
        <w:ind w:firstLine="642" w:firstLineChars="200"/>
        <w:outlineLvl w:val="2"/>
        <w:rPr>
          <w:rFonts w:eastAsia="仿宋"/>
          <w:b/>
          <w:sz w:val="32"/>
          <w:szCs w:val="32"/>
        </w:rPr>
      </w:pPr>
      <w:bookmarkStart w:id="43" w:name="_Toc143854302"/>
      <w:bookmarkStart w:id="44" w:name="_Toc15377211"/>
      <w:r>
        <w:rPr>
          <w:rFonts w:eastAsia="仿宋"/>
          <w:b/>
          <w:sz w:val="32"/>
          <w:szCs w:val="32"/>
        </w:rPr>
        <w:t>（二）一般公共预算财政拨款支出决算结构情况</w:t>
      </w:r>
      <w:bookmarkEnd w:id="43"/>
      <w:bookmarkEnd w:id="44"/>
    </w:p>
    <w:p>
      <w:pPr>
        <w:spacing w:line="600" w:lineRule="exact"/>
        <w:ind w:firstLine="640"/>
        <w:rPr>
          <w:rFonts w:eastAsia="仿宋"/>
          <w:b/>
          <w:sz w:val="32"/>
          <w:szCs w:val="32"/>
        </w:rPr>
      </w:pPr>
      <w:r>
        <w:rPr>
          <w:rFonts w:eastAsia="仿宋"/>
          <w:sz w:val="32"/>
          <w:szCs w:val="32"/>
        </w:rPr>
        <w:t>2022年一般公共预算财政拨款支出366.69万元，主要用于以下方面:</w:t>
      </w:r>
      <w:r>
        <w:rPr>
          <w:rFonts w:eastAsia="仿宋"/>
          <w:b/>
          <w:sz w:val="32"/>
          <w:szCs w:val="32"/>
        </w:rPr>
        <w:t>社会保障和就业</w:t>
      </w:r>
      <w:r>
        <w:rPr>
          <w:rFonts w:eastAsia="仿宋"/>
          <w:b/>
          <w:bCs/>
          <w:sz w:val="32"/>
          <w:szCs w:val="32"/>
        </w:rPr>
        <w:t>支出343.31</w:t>
      </w:r>
      <w:r>
        <w:rPr>
          <w:rFonts w:eastAsia="仿宋"/>
          <w:sz w:val="32"/>
          <w:szCs w:val="32"/>
        </w:rPr>
        <w:t>万元，占94%；</w:t>
      </w:r>
      <w:r>
        <w:rPr>
          <w:rFonts w:eastAsia="仿宋"/>
          <w:b/>
          <w:bCs/>
          <w:sz w:val="32"/>
          <w:szCs w:val="32"/>
        </w:rPr>
        <w:t>住房保障支出</w:t>
      </w:r>
      <w:r>
        <w:rPr>
          <w:rFonts w:eastAsia="仿宋"/>
          <w:sz w:val="32"/>
          <w:szCs w:val="32"/>
        </w:rPr>
        <w:t>23.38万元，占6%。</w:t>
      </w:r>
    </w:p>
    <w:p>
      <w:pPr>
        <w:spacing w:line="600" w:lineRule="exact"/>
        <w:ind w:firstLine="640" w:firstLineChars="200"/>
        <w:rPr>
          <w:rFonts w:eastAsia="仿宋"/>
          <w:sz w:val="32"/>
          <w:szCs w:val="32"/>
        </w:rPr>
      </w:pPr>
      <w:r>
        <w:rPr>
          <w:rFonts w:eastAsia="仿宋"/>
          <w:sz w:val="32"/>
          <w:szCs w:val="32"/>
        </w:rPr>
        <w:t>图6：一般公共预算财政拨款支出决算结构</w:t>
      </w:r>
    </w:p>
    <w:p>
      <w:pPr>
        <w:pStyle w:val="2"/>
        <w:spacing w:before="93"/>
        <w:rPr>
          <w:rFonts w:ascii="Times New Roman"/>
        </w:rPr>
      </w:pPr>
      <w:r>
        <w:rPr>
          <w:rFonts w:ascii="Times New Roman"/>
        </w:rPr>
        <w:drawing>
          <wp:inline distT="0" distB="0" distL="0" distR="0">
            <wp:extent cx="4343400" cy="23907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2"/>
        <w:rPr>
          <w:rFonts w:eastAsia="仿宋"/>
          <w:b/>
          <w:sz w:val="32"/>
          <w:szCs w:val="32"/>
        </w:rPr>
      </w:pPr>
      <w:bookmarkStart w:id="45" w:name="_Toc15377212"/>
      <w:bookmarkStart w:id="46" w:name="_Toc143854303"/>
      <w:r>
        <w:rPr>
          <w:rFonts w:eastAsia="仿宋"/>
          <w:b/>
          <w:sz w:val="32"/>
          <w:szCs w:val="32"/>
        </w:rPr>
        <w:t>（三）一般公共预算财政拨款支出决算具体情况</w:t>
      </w:r>
      <w:bookmarkEnd w:id="45"/>
      <w:bookmarkEnd w:id="46"/>
    </w:p>
    <w:p>
      <w:pPr>
        <w:spacing w:line="600" w:lineRule="exact"/>
        <w:ind w:firstLine="642" w:firstLineChars="200"/>
        <w:outlineLvl w:val="2"/>
        <w:rPr>
          <w:rFonts w:eastAsia="仿宋"/>
          <w:sz w:val="32"/>
          <w:szCs w:val="32"/>
        </w:rPr>
      </w:pPr>
      <w:bookmarkStart w:id="47" w:name="_Toc15378460"/>
      <w:bookmarkStart w:id="48" w:name="_Toc15377213"/>
      <w:bookmarkStart w:id="49" w:name="_Toc143854304"/>
      <w:bookmarkStart w:id="50" w:name="_Toc15377444"/>
      <w:r>
        <w:rPr>
          <w:rFonts w:eastAsia="仿宋"/>
          <w:b/>
          <w:sz w:val="32"/>
          <w:szCs w:val="32"/>
        </w:rPr>
        <w:t>2022年一般公共预算支出决算数为366.69万元</w:t>
      </w:r>
      <w:r>
        <w:rPr>
          <w:rFonts w:eastAsia="仿宋"/>
          <w:sz w:val="32"/>
          <w:szCs w:val="32"/>
        </w:rPr>
        <w:t>，</w:t>
      </w:r>
      <w:r>
        <w:rPr>
          <w:rStyle w:val="15"/>
          <w:rFonts w:eastAsia="仿宋"/>
          <w:bCs/>
          <w:sz w:val="32"/>
          <w:szCs w:val="32"/>
        </w:rPr>
        <w:t>完成预算100%。其中：</w:t>
      </w:r>
      <w:bookmarkEnd w:id="47"/>
      <w:bookmarkEnd w:id="48"/>
      <w:bookmarkEnd w:id="49"/>
      <w:bookmarkEnd w:id="50"/>
    </w:p>
    <w:p>
      <w:pPr>
        <w:spacing w:line="600" w:lineRule="exact"/>
        <w:ind w:firstLine="640" w:firstLineChars="200"/>
        <w:rPr>
          <w:rStyle w:val="15"/>
          <w:rFonts w:eastAsia="仿宋"/>
          <w:b w:val="0"/>
          <w:bCs/>
          <w:sz w:val="32"/>
          <w:szCs w:val="32"/>
        </w:rPr>
      </w:pPr>
      <w:r>
        <w:rPr>
          <w:rFonts w:eastAsia="仿宋_GB2312"/>
          <w:sz w:val="32"/>
          <w:szCs w:val="32"/>
        </w:rPr>
        <w:t>1. 社会保障和就业（类）行政事业单位养老支出（款）事业单位离退休（项）</w:t>
      </w:r>
      <w:r>
        <w:rPr>
          <w:rStyle w:val="15"/>
          <w:rFonts w:eastAsia="仿宋"/>
          <w:bCs/>
          <w:sz w:val="32"/>
          <w:szCs w:val="32"/>
        </w:rPr>
        <w:t>:</w:t>
      </w:r>
      <w:r>
        <w:rPr>
          <w:rStyle w:val="15"/>
          <w:rFonts w:eastAsia="仿宋"/>
          <w:b w:val="0"/>
          <w:bCs/>
          <w:sz w:val="32"/>
          <w:szCs w:val="32"/>
        </w:rPr>
        <w:t>支出决算为70.42万元，完成预算100%，决算等于预算数。</w:t>
      </w:r>
    </w:p>
    <w:p>
      <w:pPr>
        <w:spacing w:line="600" w:lineRule="exact"/>
        <w:ind w:firstLine="640" w:firstLineChars="200"/>
        <w:rPr>
          <w:rStyle w:val="15"/>
          <w:rFonts w:eastAsia="仿宋"/>
          <w:b w:val="0"/>
          <w:bCs/>
          <w:sz w:val="32"/>
          <w:szCs w:val="32"/>
        </w:rPr>
      </w:pPr>
      <w:r>
        <w:rPr>
          <w:rStyle w:val="15"/>
          <w:rFonts w:eastAsia="仿宋"/>
          <w:b w:val="0"/>
          <w:bCs/>
          <w:sz w:val="32"/>
          <w:szCs w:val="32"/>
        </w:rPr>
        <w:t>2.</w:t>
      </w:r>
      <w:r>
        <w:rPr>
          <w:rFonts w:eastAsia="仿宋_GB2312"/>
          <w:sz w:val="32"/>
          <w:szCs w:val="32"/>
        </w:rPr>
        <w:t xml:space="preserve"> 社会保障和就业（类）行政事业单位养老支出（款）机关事业单位基本养老保险缴费支出（项）：</w:t>
      </w:r>
      <w:r>
        <w:rPr>
          <w:rStyle w:val="15"/>
          <w:rFonts w:eastAsia="仿宋"/>
          <w:b w:val="0"/>
          <w:bCs/>
          <w:sz w:val="32"/>
          <w:szCs w:val="32"/>
        </w:rPr>
        <w:t>支出决算为18.99万元，完成预算100%，决算等于预算数。</w:t>
      </w:r>
    </w:p>
    <w:p>
      <w:pPr>
        <w:spacing w:line="600" w:lineRule="exact"/>
        <w:ind w:firstLine="640" w:firstLineChars="200"/>
        <w:rPr>
          <w:rStyle w:val="15"/>
          <w:rFonts w:eastAsia="仿宋"/>
          <w:b w:val="0"/>
          <w:bCs/>
          <w:color w:val="000000" w:themeColor="text1"/>
          <w:sz w:val="32"/>
          <w:szCs w:val="32"/>
        </w:rPr>
      </w:pPr>
      <w:r>
        <w:rPr>
          <w:rFonts w:eastAsia="仿宋_GB2312"/>
          <w:sz w:val="32"/>
          <w:szCs w:val="32"/>
        </w:rPr>
        <w:t>3.社会保障和就业（类）退役军人管理事务（款）事业运行（项）：</w:t>
      </w:r>
      <w:r>
        <w:rPr>
          <w:rStyle w:val="15"/>
          <w:rFonts w:eastAsia="仿宋"/>
          <w:b w:val="0"/>
          <w:bCs/>
          <w:sz w:val="32"/>
          <w:szCs w:val="32"/>
        </w:rPr>
        <w:t>支出决算为240.99万</w:t>
      </w:r>
      <w:r>
        <w:rPr>
          <w:rStyle w:val="15"/>
          <w:rFonts w:eastAsia="仿宋"/>
          <w:b w:val="0"/>
          <w:bCs/>
          <w:color w:val="000000" w:themeColor="text1"/>
          <w:sz w:val="32"/>
          <w:szCs w:val="32"/>
        </w:rPr>
        <w:t>元，完成预算107%，决算数大于预算数的主要原因是：年中财政按实际需求追加指标。</w:t>
      </w:r>
    </w:p>
    <w:p>
      <w:pPr>
        <w:spacing w:line="600" w:lineRule="exact"/>
        <w:ind w:firstLine="640" w:firstLineChars="200"/>
        <w:rPr>
          <w:rFonts w:eastAsia="仿宋"/>
          <w:b/>
          <w:color w:val="000000" w:themeColor="text1"/>
          <w:sz w:val="32"/>
          <w:szCs w:val="32"/>
        </w:rPr>
      </w:pPr>
      <w:r>
        <w:rPr>
          <w:color w:val="000000" w:themeColor="text1"/>
          <w:sz w:val="32"/>
          <w:szCs w:val="32"/>
        </w:rPr>
        <w:t>4.</w:t>
      </w:r>
      <w:r>
        <w:rPr>
          <w:rFonts w:eastAsia="仿宋_GB2312"/>
          <w:color w:val="000000" w:themeColor="text1"/>
          <w:sz w:val="32"/>
          <w:szCs w:val="32"/>
        </w:rPr>
        <w:t>社会保障和就业（类）退役</w:t>
      </w:r>
      <w:r>
        <w:rPr>
          <w:color w:val="000000" w:themeColor="text1"/>
          <w:sz w:val="32"/>
          <w:szCs w:val="32"/>
        </w:rPr>
        <w:t>安置</w:t>
      </w:r>
      <w:r>
        <w:rPr>
          <w:rFonts w:eastAsia="仿宋_GB2312"/>
          <w:color w:val="000000" w:themeColor="text1"/>
          <w:sz w:val="32"/>
          <w:szCs w:val="32"/>
        </w:rPr>
        <w:t>（款）</w:t>
      </w:r>
      <w:r>
        <w:rPr>
          <w:color w:val="000000" w:themeColor="text1"/>
          <w:sz w:val="32"/>
          <w:szCs w:val="32"/>
        </w:rPr>
        <w:t>退役士兵管理教育</w:t>
      </w:r>
      <w:r>
        <w:rPr>
          <w:rFonts w:eastAsia="仿宋_GB2312"/>
          <w:color w:val="000000" w:themeColor="text1"/>
          <w:sz w:val="32"/>
          <w:szCs w:val="32"/>
        </w:rPr>
        <w:t>（项）：</w:t>
      </w:r>
      <w:r>
        <w:rPr>
          <w:rStyle w:val="15"/>
          <w:rFonts w:eastAsia="仿宋"/>
          <w:b w:val="0"/>
          <w:bCs/>
          <w:color w:val="000000" w:themeColor="text1"/>
          <w:sz w:val="32"/>
          <w:szCs w:val="32"/>
        </w:rPr>
        <w:t>支出决算为12.92万元，完成预算100%，决算等于预算数。</w:t>
      </w:r>
    </w:p>
    <w:p>
      <w:pPr>
        <w:pStyle w:val="2"/>
        <w:spacing w:before="93"/>
        <w:ind w:firstLine="480" w:firstLineChars="150"/>
        <w:rPr>
          <w:rFonts w:ascii="Times New Roman"/>
          <w:color w:val="000000" w:themeColor="text1"/>
        </w:rPr>
      </w:pPr>
      <w:r>
        <w:rPr>
          <w:rFonts w:ascii="Times New Roman"/>
          <w:color w:val="000000" w:themeColor="text1"/>
          <w:sz w:val="32"/>
          <w:szCs w:val="32"/>
        </w:rPr>
        <w:t>5.住房保障支出（类）住房改革支出（款）住房公积金（项）：</w:t>
      </w:r>
    </w:p>
    <w:p>
      <w:pPr>
        <w:spacing w:line="600" w:lineRule="exact"/>
        <w:rPr>
          <w:rStyle w:val="15"/>
          <w:rFonts w:eastAsia="仿宋"/>
          <w:b w:val="0"/>
          <w:bCs/>
          <w:color w:val="000000" w:themeColor="text1"/>
          <w:sz w:val="32"/>
          <w:szCs w:val="32"/>
        </w:rPr>
      </w:pPr>
      <w:r>
        <w:rPr>
          <w:rStyle w:val="15"/>
          <w:rFonts w:eastAsia="仿宋"/>
          <w:b w:val="0"/>
          <w:bCs/>
          <w:color w:val="000000" w:themeColor="text1"/>
          <w:sz w:val="32"/>
          <w:szCs w:val="32"/>
        </w:rPr>
        <w:t>支出决算为23.38万元，完成预算103%，决算大于预算数主要原因是：</w:t>
      </w:r>
      <w:bookmarkStart w:id="51" w:name="_Toc143854305"/>
      <w:bookmarkStart w:id="52" w:name="_Toc15377214"/>
      <w:bookmarkStart w:id="53" w:name="_Toc15396608"/>
      <w:r>
        <w:rPr>
          <w:rStyle w:val="15"/>
          <w:rFonts w:eastAsia="仿宋"/>
          <w:b w:val="0"/>
          <w:bCs/>
          <w:color w:val="000000" w:themeColor="text1"/>
          <w:sz w:val="32"/>
          <w:szCs w:val="32"/>
        </w:rPr>
        <w:t>年中财政按实际需求追加指标。</w:t>
      </w:r>
    </w:p>
    <w:p>
      <w:pPr>
        <w:spacing w:line="600" w:lineRule="exact"/>
        <w:ind w:firstLine="640" w:firstLineChars="200"/>
        <w:rPr>
          <w:rStyle w:val="19"/>
          <w:rFonts w:ascii="Times New Roman" w:hAnsi="Times New Roman" w:cs="Times New Roman"/>
          <w:color w:val="000000" w:themeColor="text1"/>
        </w:rPr>
      </w:pPr>
      <w:r>
        <w:rPr>
          <w:rFonts w:eastAsia="黑体"/>
          <w:color w:val="000000" w:themeColor="text1"/>
          <w:sz w:val="32"/>
          <w:szCs w:val="32"/>
        </w:rPr>
        <w:t>六</w:t>
      </w:r>
      <w:r>
        <w:rPr>
          <w:rFonts w:eastAsia="黑体"/>
          <w:b/>
          <w:color w:val="000000" w:themeColor="text1"/>
          <w:sz w:val="32"/>
          <w:szCs w:val="32"/>
        </w:rPr>
        <w:t>、一</w:t>
      </w:r>
      <w:r>
        <w:rPr>
          <w:rStyle w:val="19"/>
          <w:rFonts w:ascii="Times New Roman" w:hAnsi="Times New Roman" w:eastAsia="黑体" w:cs="Times New Roman"/>
          <w:b w:val="0"/>
          <w:color w:val="000000" w:themeColor="text1"/>
        </w:rPr>
        <w:t>般公共预算财政拨款基本支出决算情况说明</w:t>
      </w:r>
      <w:bookmarkEnd w:id="51"/>
      <w:bookmarkEnd w:id="52"/>
      <w:bookmarkEnd w:id="53"/>
      <w:r>
        <w:rPr>
          <w:rStyle w:val="19"/>
          <w:rFonts w:ascii="Times New Roman" w:hAnsi="Times New Roman" w:eastAsia="黑体" w:cs="Times New Roman"/>
          <w:b w:val="0"/>
          <w:color w:val="000000" w:themeColor="text1"/>
        </w:rPr>
        <w:tab/>
      </w:r>
    </w:p>
    <w:p>
      <w:pPr>
        <w:spacing w:line="600" w:lineRule="exact"/>
        <w:ind w:firstLine="645"/>
        <w:rPr>
          <w:rFonts w:eastAsia="仿宋"/>
          <w:sz w:val="32"/>
          <w:szCs w:val="32"/>
        </w:rPr>
      </w:pPr>
      <w:r>
        <w:rPr>
          <w:rFonts w:eastAsia="仿宋"/>
          <w:color w:val="000000" w:themeColor="text1"/>
          <w:sz w:val="32"/>
          <w:szCs w:val="32"/>
        </w:rPr>
        <w:t>2022年一般公共预算财政拨款基本支出</w:t>
      </w:r>
      <w:r>
        <w:rPr>
          <w:rFonts w:eastAsia="仿宋"/>
          <w:sz w:val="32"/>
          <w:szCs w:val="32"/>
        </w:rPr>
        <w:t>353.77万元，其中：</w:t>
      </w:r>
    </w:p>
    <w:p>
      <w:pPr>
        <w:spacing w:line="600" w:lineRule="exact"/>
        <w:ind w:firstLine="645"/>
        <w:rPr>
          <w:rFonts w:eastAsia="仿宋"/>
          <w:sz w:val="32"/>
          <w:szCs w:val="32"/>
        </w:rPr>
      </w:pPr>
      <w:r>
        <w:rPr>
          <w:rFonts w:eastAsia="仿宋"/>
          <w:sz w:val="32"/>
          <w:szCs w:val="32"/>
        </w:rPr>
        <w:t>人员经费335.44万元，主要包括：基本工资、津贴补贴、奖金、绩效工资、机关事业单位基本养老保险缴费、职业年金缴费、其他社会保障缴费、其他工资福利支出、退休费、生活补助、医疗费补助、住房公积金、其他对个人和家庭的补助支出等。</w:t>
      </w:r>
      <w:r>
        <w:rPr>
          <w:rFonts w:eastAsia="仿宋"/>
          <w:sz w:val="32"/>
          <w:szCs w:val="32"/>
        </w:rPr>
        <w:br w:type="textWrapping"/>
      </w:r>
      <w:r>
        <w:rPr>
          <w:rFonts w:eastAsia="仿宋"/>
          <w:sz w:val="32"/>
          <w:szCs w:val="32"/>
        </w:rPr>
        <w:t>　　公用经费18.33万元，主要包括：办公费、水费、电费、邮电费、差旅费、维修（护）费、培训费、公务接待费、委托业务费、工会经费、福利费、其他交通费、其他商品和服务支出等。</w:t>
      </w:r>
    </w:p>
    <w:p>
      <w:pPr>
        <w:spacing w:line="600" w:lineRule="exact"/>
        <w:ind w:firstLine="640"/>
        <w:outlineLvl w:val="1"/>
        <w:rPr>
          <w:rStyle w:val="19"/>
          <w:rFonts w:ascii="Times New Roman" w:hAnsi="Times New Roman" w:eastAsia="黑体" w:cs="Times New Roman"/>
          <w:b w:val="0"/>
        </w:rPr>
      </w:pPr>
      <w:bookmarkStart w:id="54" w:name="_Toc15377215"/>
      <w:bookmarkStart w:id="55" w:name="_Toc143854306"/>
      <w:bookmarkStart w:id="56" w:name="_Toc15396609"/>
      <w:r>
        <w:rPr>
          <w:rFonts w:eastAsia="黑体"/>
          <w:sz w:val="32"/>
          <w:szCs w:val="32"/>
        </w:rPr>
        <w:t>七、</w:t>
      </w:r>
      <w:r>
        <w:rPr>
          <w:rStyle w:val="19"/>
          <w:rFonts w:ascii="Times New Roman" w:hAnsi="Times New Roman" w:eastAsia="黑体" w:cs="Times New Roman"/>
          <w:b w:val="0"/>
        </w:rPr>
        <w:t>财政拨款</w:t>
      </w:r>
      <w:r>
        <w:rPr>
          <w:rStyle w:val="19"/>
          <w:rFonts w:ascii="Times New Roman" w:hAnsi="Times New Roman" w:eastAsia="黑体" w:cs="Times New Roman"/>
        </w:rPr>
        <w:t>“</w:t>
      </w:r>
      <w:r>
        <w:rPr>
          <w:rStyle w:val="19"/>
          <w:rFonts w:ascii="Times New Roman" w:hAnsi="Times New Roman" w:eastAsia="黑体" w:cs="Times New Roman"/>
          <w:b w:val="0"/>
        </w:rPr>
        <w:t>三公”经费支出决算情况说明</w:t>
      </w:r>
      <w:bookmarkEnd w:id="54"/>
      <w:bookmarkEnd w:id="55"/>
      <w:bookmarkEnd w:id="56"/>
    </w:p>
    <w:p>
      <w:pPr>
        <w:spacing w:line="600" w:lineRule="exact"/>
        <w:ind w:firstLine="640"/>
        <w:outlineLvl w:val="2"/>
        <w:rPr>
          <w:rFonts w:eastAsia="仿宋"/>
          <w:b/>
          <w:sz w:val="32"/>
          <w:szCs w:val="32"/>
        </w:rPr>
      </w:pPr>
      <w:bookmarkStart w:id="57" w:name="_Toc143854307"/>
      <w:bookmarkStart w:id="58" w:name="_Toc15377216"/>
      <w:r>
        <w:rPr>
          <w:rFonts w:eastAsia="仿宋"/>
          <w:b/>
          <w:sz w:val="32"/>
          <w:szCs w:val="32"/>
        </w:rPr>
        <w:t>（一）“三公”经费财政拨款支出决算总体情况说明</w:t>
      </w:r>
      <w:bookmarkEnd w:id="57"/>
      <w:bookmarkEnd w:id="58"/>
    </w:p>
    <w:p>
      <w:pPr>
        <w:spacing w:line="600" w:lineRule="exact"/>
        <w:ind w:firstLine="640"/>
        <w:rPr>
          <w:rFonts w:eastAsia="仿宋"/>
          <w:sz w:val="32"/>
          <w:szCs w:val="32"/>
        </w:rPr>
      </w:pPr>
      <w:r>
        <w:rPr>
          <w:rFonts w:eastAsia="仿宋"/>
          <w:sz w:val="32"/>
          <w:szCs w:val="32"/>
        </w:rPr>
        <w:t>2022年“三公”经费财政拨款支出决算为0.13万元，完成预算61%，较上年减少0.26万元，下降67%。决算数小于预算数的主要原因是厉行节约，按照“三公”经费只</w:t>
      </w:r>
      <w:r>
        <w:rPr>
          <w:rFonts w:hint="eastAsia" w:eastAsia="仿宋"/>
          <w:sz w:val="32"/>
          <w:szCs w:val="32"/>
        </w:rPr>
        <w:t>减</w:t>
      </w:r>
      <w:r>
        <w:rPr>
          <w:rFonts w:eastAsia="仿宋"/>
          <w:sz w:val="32"/>
          <w:szCs w:val="32"/>
        </w:rPr>
        <w:t>不</w:t>
      </w:r>
      <w:r>
        <w:rPr>
          <w:rFonts w:hint="eastAsia" w:eastAsia="仿宋"/>
          <w:sz w:val="32"/>
          <w:szCs w:val="32"/>
        </w:rPr>
        <w:t>增</w:t>
      </w:r>
      <w:r>
        <w:rPr>
          <w:rFonts w:eastAsia="仿宋"/>
          <w:sz w:val="32"/>
          <w:szCs w:val="32"/>
        </w:rPr>
        <w:t>的原则，缩减三公经费。</w:t>
      </w:r>
    </w:p>
    <w:p>
      <w:pPr>
        <w:spacing w:line="600" w:lineRule="exact"/>
        <w:ind w:firstLine="640"/>
        <w:outlineLvl w:val="2"/>
        <w:rPr>
          <w:rFonts w:eastAsia="仿宋"/>
          <w:b/>
          <w:sz w:val="32"/>
          <w:szCs w:val="32"/>
        </w:rPr>
      </w:pPr>
      <w:bookmarkStart w:id="59" w:name="_Toc143854308"/>
      <w:bookmarkStart w:id="60" w:name="_Toc15377217"/>
      <w:r>
        <w:rPr>
          <w:rFonts w:eastAsia="仿宋"/>
          <w:b/>
          <w:sz w:val="32"/>
          <w:szCs w:val="32"/>
        </w:rPr>
        <w:t>（二）“三公”经费财政拨款支出决算具体情况说明</w:t>
      </w:r>
      <w:bookmarkEnd w:id="59"/>
      <w:bookmarkEnd w:id="60"/>
    </w:p>
    <w:p>
      <w:pPr>
        <w:spacing w:line="600" w:lineRule="exact"/>
        <w:ind w:firstLine="640"/>
        <w:rPr>
          <w:rFonts w:eastAsia="仿宋"/>
          <w:sz w:val="32"/>
          <w:szCs w:val="32"/>
        </w:rPr>
      </w:pPr>
      <w:r>
        <w:rPr>
          <w:rFonts w:eastAsia="仿宋"/>
          <w:sz w:val="32"/>
          <w:szCs w:val="32"/>
        </w:rPr>
        <w:t>2022年“三公”经费财政拨款支出决算中，因公出国（境）费支出决算0万元，占0%；公务用车购置及运行维护费支出决算0万元，占0%；公务接待费支出决算0.13万元，占100%。具体情况如下：</w:t>
      </w:r>
    </w:p>
    <w:p>
      <w:pPr>
        <w:spacing w:line="600" w:lineRule="exact"/>
        <w:ind w:firstLine="640"/>
        <w:rPr>
          <w:rFonts w:eastAsia="仿宋"/>
          <w:sz w:val="32"/>
          <w:szCs w:val="32"/>
        </w:rPr>
      </w:pPr>
      <w:r>
        <w:rPr>
          <w:rFonts w:eastAsia="仿宋"/>
          <w:sz w:val="32"/>
          <w:szCs w:val="32"/>
        </w:rPr>
        <w:t>图7：“三公”经费财政拨款支出结构</w:t>
      </w:r>
    </w:p>
    <w:p>
      <w:pPr>
        <w:pStyle w:val="2"/>
        <w:spacing w:before="93"/>
        <w:rPr>
          <w:rFonts w:ascii="Times New Roman"/>
        </w:rPr>
      </w:pPr>
      <w:r>
        <w:rPr>
          <w:rFonts w:ascii="Times New Roman"/>
        </w:rPr>
        <w:drawing>
          <wp:inline distT="0" distB="0" distL="0" distR="0">
            <wp:extent cx="4505325" cy="188595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eastAsia="仿宋_GB2312"/>
          <w:b/>
          <w:sz w:val="32"/>
          <w:szCs w:val="32"/>
        </w:rPr>
      </w:pPr>
    </w:p>
    <w:p>
      <w:pPr>
        <w:spacing w:line="600" w:lineRule="exact"/>
        <w:ind w:firstLine="640"/>
        <w:rPr>
          <w:rFonts w:eastAsia="仿宋_GB2312"/>
          <w:b/>
          <w:sz w:val="32"/>
          <w:szCs w:val="32"/>
        </w:rPr>
      </w:pPr>
      <w:r>
        <w:rPr>
          <w:rFonts w:eastAsia="仿宋_GB2312"/>
          <w:sz w:val="32"/>
          <w:szCs w:val="32"/>
        </w:rPr>
        <w:t>1.因公出国（境）经费支出0万元，</w:t>
      </w:r>
      <w:r>
        <w:rPr>
          <w:rStyle w:val="15"/>
          <w:rFonts w:eastAsia="仿宋"/>
          <w:b w:val="0"/>
          <w:bCs/>
          <w:sz w:val="32"/>
          <w:szCs w:val="32"/>
        </w:rPr>
        <w:t>完成预算0%。</w:t>
      </w:r>
      <w:r>
        <w:rPr>
          <w:rFonts w:eastAsia="仿宋_GB2312"/>
          <w:sz w:val="32"/>
          <w:szCs w:val="32"/>
        </w:rPr>
        <w:t>全年安排因公出国（境）团组0次，出国（境）0人。因公出国（境）支出决算持平。主要原因是我单位无此项支出。</w:t>
      </w:r>
    </w:p>
    <w:p>
      <w:pPr>
        <w:spacing w:line="600" w:lineRule="exact"/>
        <w:ind w:firstLine="640"/>
        <w:rPr>
          <w:rFonts w:eastAsia="仿宋_GB2312"/>
          <w:sz w:val="32"/>
          <w:szCs w:val="32"/>
        </w:rPr>
      </w:pPr>
      <w:r>
        <w:rPr>
          <w:rFonts w:eastAsia="仿宋_GB2312"/>
          <w:sz w:val="32"/>
          <w:szCs w:val="32"/>
        </w:rPr>
        <w:t>2.公务用车购置及运行维护费支出0万元,完成预算0%。公务用车购置及运行维护费支出决算与2021年持平。主要原因是我单位无公务用车。</w:t>
      </w:r>
    </w:p>
    <w:p>
      <w:pPr>
        <w:spacing w:line="600" w:lineRule="exact"/>
        <w:ind w:firstLine="640"/>
        <w:rPr>
          <w:rFonts w:eastAsia="仿宋"/>
          <w:color w:val="000000" w:themeColor="text1"/>
          <w:sz w:val="32"/>
          <w:szCs w:val="32"/>
        </w:rPr>
      </w:pPr>
      <w:r>
        <w:rPr>
          <w:rFonts w:eastAsia="仿宋_GB2312"/>
          <w:sz w:val="32"/>
          <w:szCs w:val="32"/>
        </w:rPr>
        <w:t>3.公务接待费支出0.13万元，完成预算61%。公务接待费支出决算比2021年减少0.26万元，下降67%。主要原因是</w:t>
      </w:r>
      <w:r>
        <w:rPr>
          <w:rFonts w:eastAsia="仿宋"/>
          <w:sz w:val="32"/>
          <w:szCs w:val="32"/>
        </w:rPr>
        <w:t>厉行节约，按照“三公”经费只</w:t>
      </w:r>
      <w:r>
        <w:rPr>
          <w:rFonts w:hint="eastAsia" w:eastAsia="仿宋"/>
          <w:sz w:val="32"/>
          <w:szCs w:val="32"/>
        </w:rPr>
        <w:t>减</w:t>
      </w:r>
      <w:r>
        <w:rPr>
          <w:rFonts w:eastAsia="仿宋"/>
          <w:sz w:val="32"/>
          <w:szCs w:val="32"/>
        </w:rPr>
        <w:t>不</w:t>
      </w:r>
      <w:r>
        <w:rPr>
          <w:rFonts w:hint="eastAsia" w:eastAsia="仿宋"/>
          <w:sz w:val="32"/>
          <w:szCs w:val="32"/>
        </w:rPr>
        <w:t>增</w:t>
      </w:r>
      <w:r>
        <w:rPr>
          <w:rFonts w:eastAsia="仿宋"/>
          <w:sz w:val="32"/>
          <w:szCs w:val="32"/>
        </w:rPr>
        <w:t>的原则，缩减三公经费。</w:t>
      </w:r>
      <w:r>
        <w:rPr>
          <w:rFonts w:eastAsia="仿宋_GB2312"/>
          <w:sz w:val="32"/>
          <w:szCs w:val="32"/>
        </w:rPr>
        <w:t>其中：国内公务接待支出0.13万元，主要用于开展业务活动开支的用餐费等。国内公务接待</w:t>
      </w:r>
      <w:r>
        <w:rPr>
          <w:rFonts w:eastAsia="仿宋_GB2312"/>
          <w:color w:val="000000" w:themeColor="text1"/>
          <w:sz w:val="32"/>
          <w:szCs w:val="32"/>
        </w:rPr>
        <w:t>2批次，10人次，共计支出0.13万元，具体内容包括：四川省退役军人服务中心赴攀枝花开展服务中心（站）建设情况“回头看”工作支出0.07万元；四川省退役军人服务中心赴攀枝花调研退役军人服务站建设与运行管理情况工作支出0.06万元。</w:t>
      </w:r>
    </w:p>
    <w:p>
      <w:pPr>
        <w:spacing w:line="600" w:lineRule="exact"/>
        <w:ind w:firstLine="640" w:firstLineChars="200"/>
        <w:rPr>
          <w:rFonts w:eastAsia="仿宋_GB2312"/>
          <w:sz w:val="32"/>
          <w:szCs w:val="32"/>
        </w:rPr>
      </w:pPr>
      <w:r>
        <w:rPr>
          <w:rFonts w:eastAsia="仿宋_GB2312"/>
          <w:sz w:val="32"/>
          <w:szCs w:val="32"/>
        </w:rPr>
        <w:t>外事接待支出0万元，外事接待0批次，0人次，共计支出0万元。</w:t>
      </w:r>
    </w:p>
    <w:p>
      <w:pPr>
        <w:spacing w:line="600" w:lineRule="exact"/>
        <w:ind w:firstLine="640" w:firstLineChars="200"/>
        <w:outlineLvl w:val="1"/>
        <w:rPr>
          <w:rStyle w:val="19"/>
          <w:rFonts w:ascii="Times New Roman" w:hAnsi="Times New Roman" w:eastAsia="黑体" w:cs="Times New Roman"/>
        </w:rPr>
      </w:pPr>
      <w:bookmarkStart w:id="61" w:name="_Toc143854309"/>
      <w:bookmarkStart w:id="62" w:name="_Toc15396610"/>
      <w:bookmarkStart w:id="63" w:name="_Toc15377218"/>
      <w:r>
        <w:rPr>
          <w:rFonts w:eastAsia="黑体"/>
          <w:sz w:val="32"/>
          <w:szCs w:val="32"/>
        </w:rPr>
        <w:t>八、</w:t>
      </w:r>
      <w:r>
        <w:rPr>
          <w:rStyle w:val="19"/>
          <w:rFonts w:ascii="Times New Roman" w:hAnsi="Times New Roman" w:eastAsia="黑体" w:cs="Times New Roman"/>
          <w:b w:val="0"/>
        </w:rPr>
        <w:t>政府性基金预算支出决算情况说明</w:t>
      </w:r>
      <w:bookmarkEnd w:id="61"/>
      <w:bookmarkEnd w:id="62"/>
      <w:bookmarkEnd w:id="63"/>
    </w:p>
    <w:p>
      <w:pPr>
        <w:spacing w:line="600" w:lineRule="exact"/>
        <w:ind w:firstLine="640" w:firstLineChars="200"/>
        <w:rPr>
          <w:rFonts w:eastAsia="仿宋_GB2312"/>
          <w:sz w:val="32"/>
          <w:szCs w:val="32"/>
        </w:rPr>
      </w:pPr>
      <w:r>
        <w:rPr>
          <w:rFonts w:eastAsia="仿宋_GB2312"/>
          <w:sz w:val="32"/>
          <w:szCs w:val="32"/>
        </w:rPr>
        <w:t>2022年政府性基金预算财政拨款支出0万元。</w:t>
      </w:r>
    </w:p>
    <w:p>
      <w:pPr>
        <w:numPr>
          <w:ilvl w:val="0"/>
          <w:numId w:val="2"/>
        </w:numPr>
        <w:spacing w:line="600" w:lineRule="exact"/>
        <w:ind w:firstLine="640" w:firstLineChars="200"/>
        <w:outlineLvl w:val="1"/>
        <w:rPr>
          <w:rStyle w:val="19"/>
          <w:rFonts w:ascii="Times New Roman" w:hAnsi="Times New Roman" w:eastAsia="黑体" w:cs="Times New Roman"/>
          <w:b w:val="0"/>
        </w:rPr>
      </w:pPr>
      <w:bookmarkStart w:id="64" w:name="_Toc143854310"/>
      <w:bookmarkStart w:id="65" w:name="_Toc15396611"/>
      <w:bookmarkStart w:id="66" w:name="_Toc15377219"/>
      <w:r>
        <w:rPr>
          <w:rStyle w:val="19"/>
          <w:rFonts w:ascii="Times New Roman" w:hAnsi="Times New Roman" w:eastAsia="黑体" w:cs="Times New Roman"/>
          <w:b w:val="0"/>
        </w:rPr>
        <w:t>国有资本经营预算支出决算情况说明</w:t>
      </w:r>
      <w:bookmarkEnd w:id="64"/>
      <w:bookmarkEnd w:id="65"/>
      <w:bookmarkEnd w:id="66"/>
    </w:p>
    <w:p>
      <w:pPr>
        <w:spacing w:line="600" w:lineRule="exact"/>
        <w:ind w:firstLine="640" w:firstLineChars="200"/>
        <w:rPr>
          <w:rFonts w:eastAsia="仿宋_GB2312"/>
          <w:sz w:val="32"/>
          <w:szCs w:val="32"/>
        </w:rPr>
      </w:pPr>
      <w:r>
        <w:rPr>
          <w:rFonts w:eastAsia="仿宋_GB2312"/>
          <w:sz w:val="32"/>
          <w:szCs w:val="32"/>
        </w:rPr>
        <w:t>2022年国有资本经营预算财政拨款支出0万元。</w:t>
      </w:r>
    </w:p>
    <w:p>
      <w:pPr>
        <w:numPr>
          <w:ilvl w:val="0"/>
          <w:numId w:val="2"/>
        </w:numPr>
        <w:spacing w:line="600" w:lineRule="exact"/>
        <w:ind w:firstLine="640" w:firstLineChars="200"/>
        <w:outlineLvl w:val="1"/>
        <w:rPr>
          <w:rStyle w:val="19"/>
          <w:rFonts w:ascii="Times New Roman" w:hAnsi="Times New Roman" w:eastAsia="黑体" w:cs="Times New Roman"/>
          <w:b w:val="0"/>
        </w:rPr>
      </w:pPr>
      <w:bookmarkStart w:id="67" w:name="_Toc15377221"/>
      <w:bookmarkStart w:id="68" w:name="_Toc143854311"/>
      <w:bookmarkStart w:id="69" w:name="_Toc15396612"/>
      <w:r>
        <w:rPr>
          <w:rStyle w:val="19"/>
          <w:rFonts w:ascii="Times New Roman" w:hAnsi="Times New Roman" w:eastAsia="黑体" w:cs="Times New Roman"/>
          <w:b w:val="0"/>
        </w:rPr>
        <w:t>其他重要事项的情况说明</w:t>
      </w:r>
      <w:bookmarkEnd w:id="67"/>
      <w:bookmarkEnd w:id="68"/>
      <w:bookmarkEnd w:id="69"/>
    </w:p>
    <w:p>
      <w:pPr>
        <w:spacing w:line="600" w:lineRule="exact"/>
        <w:ind w:firstLine="642" w:firstLineChars="200"/>
        <w:outlineLvl w:val="2"/>
        <w:rPr>
          <w:rFonts w:eastAsia="仿宋"/>
          <w:sz w:val="32"/>
          <w:szCs w:val="32"/>
        </w:rPr>
      </w:pPr>
      <w:bookmarkStart w:id="70" w:name="_Toc15377222"/>
      <w:bookmarkStart w:id="71" w:name="_Toc143854312"/>
      <w:r>
        <w:rPr>
          <w:rFonts w:eastAsia="仿宋"/>
          <w:b/>
          <w:sz w:val="32"/>
          <w:szCs w:val="32"/>
        </w:rPr>
        <w:t>（一）机关运行经费支出情况</w:t>
      </w:r>
      <w:bookmarkEnd w:id="70"/>
      <w:bookmarkEnd w:id="71"/>
    </w:p>
    <w:p>
      <w:pPr>
        <w:spacing w:line="600" w:lineRule="exact"/>
        <w:ind w:firstLine="640" w:firstLineChars="200"/>
        <w:rPr>
          <w:rFonts w:eastAsia="仿宋"/>
          <w:color w:val="000000"/>
          <w:sz w:val="32"/>
          <w:szCs w:val="32"/>
        </w:rPr>
      </w:pPr>
      <w:r>
        <w:rPr>
          <w:rFonts w:eastAsia="仿宋"/>
          <w:color w:val="000000"/>
          <w:sz w:val="32"/>
          <w:szCs w:val="32"/>
        </w:rPr>
        <w:t>2022年，机关运行经费支出0万元，与2021年决算数持平。主要原因是我单位为事业单位，无机关运行经费。</w:t>
      </w:r>
    </w:p>
    <w:p>
      <w:pPr>
        <w:autoSpaceDE w:val="0"/>
        <w:autoSpaceDN w:val="0"/>
        <w:adjustRightInd w:val="0"/>
        <w:spacing w:line="600" w:lineRule="exact"/>
        <w:ind w:firstLine="642" w:firstLineChars="200"/>
        <w:jc w:val="left"/>
        <w:outlineLvl w:val="2"/>
        <w:rPr>
          <w:rFonts w:eastAsia="仿宋"/>
          <w:b/>
          <w:sz w:val="32"/>
          <w:szCs w:val="32"/>
        </w:rPr>
      </w:pPr>
      <w:bookmarkStart w:id="72" w:name="_Toc15377223"/>
      <w:bookmarkStart w:id="73" w:name="_Toc143854313"/>
      <w:r>
        <w:rPr>
          <w:rFonts w:eastAsia="仿宋"/>
          <w:b/>
          <w:sz w:val="32"/>
          <w:szCs w:val="32"/>
        </w:rPr>
        <w:t>（二）政府采购支出情况</w:t>
      </w:r>
      <w:bookmarkEnd w:id="72"/>
      <w:bookmarkEnd w:id="73"/>
    </w:p>
    <w:p>
      <w:pPr>
        <w:spacing w:line="600" w:lineRule="exact"/>
        <w:ind w:firstLine="640" w:firstLineChars="200"/>
        <w:rPr>
          <w:rFonts w:eastAsia="仿宋"/>
          <w:color w:val="000000"/>
          <w:sz w:val="32"/>
          <w:szCs w:val="32"/>
        </w:rPr>
      </w:pPr>
      <w:r>
        <w:rPr>
          <w:rFonts w:eastAsia="仿宋"/>
          <w:color w:val="000000"/>
          <w:sz w:val="32"/>
          <w:szCs w:val="32"/>
        </w:rPr>
        <w:t>2022年，市退役军人服务中心政府采购支出总额0万元，其中：政府采购货物支出0万元、政府采购工程支出0万元、政府采购服务支出0万元。</w:t>
      </w:r>
    </w:p>
    <w:p>
      <w:pPr>
        <w:autoSpaceDE w:val="0"/>
        <w:autoSpaceDN w:val="0"/>
        <w:adjustRightInd w:val="0"/>
        <w:spacing w:line="600" w:lineRule="exact"/>
        <w:ind w:firstLine="642" w:firstLineChars="200"/>
        <w:jc w:val="left"/>
        <w:outlineLvl w:val="2"/>
        <w:rPr>
          <w:rFonts w:eastAsia="仿宋"/>
          <w:b/>
          <w:sz w:val="32"/>
          <w:szCs w:val="32"/>
        </w:rPr>
      </w:pPr>
      <w:bookmarkStart w:id="74" w:name="_Toc15377224"/>
      <w:bookmarkStart w:id="75" w:name="_Toc143854314"/>
      <w:r>
        <w:rPr>
          <w:rFonts w:eastAsia="仿宋"/>
          <w:b/>
          <w:sz w:val="32"/>
          <w:szCs w:val="32"/>
        </w:rPr>
        <w:t>（三）国有资产占有使用情况</w:t>
      </w:r>
      <w:bookmarkEnd w:id="74"/>
      <w:bookmarkEnd w:id="75"/>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截至2022年12月31日，攀枝花市退役军人服务中心共有车辆0辆，单价100万元以上专用设备0台（套）。</w:t>
      </w:r>
    </w:p>
    <w:p>
      <w:pPr>
        <w:autoSpaceDE w:val="0"/>
        <w:autoSpaceDN w:val="0"/>
        <w:adjustRightInd w:val="0"/>
        <w:spacing w:line="600" w:lineRule="exact"/>
        <w:ind w:firstLine="642" w:firstLineChars="200"/>
        <w:jc w:val="left"/>
        <w:outlineLvl w:val="2"/>
        <w:rPr>
          <w:rFonts w:eastAsia="仿宋"/>
          <w:b/>
          <w:sz w:val="32"/>
          <w:szCs w:val="32"/>
        </w:rPr>
      </w:pPr>
      <w:bookmarkStart w:id="76" w:name="_Toc143854315"/>
      <w:r>
        <w:rPr>
          <w:rFonts w:eastAsia="仿宋"/>
          <w:b/>
          <w:sz w:val="32"/>
          <w:szCs w:val="32"/>
        </w:rPr>
        <w:t>（四）预算绩效管理情况</w:t>
      </w:r>
      <w:bookmarkEnd w:id="76"/>
    </w:p>
    <w:p>
      <w:pPr>
        <w:pStyle w:val="2"/>
        <w:spacing w:before="93"/>
        <w:ind w:firstLine="640" w:firstLineChars="200"/>
        <w:rPr>
          <w:rFonts w:ascii="Times New Roman"/>
          <w:highlight w:val="yellow"/>
        </w:rPr>
      </w:pPr>
      <w:r>
        <w:rPr>
          <w:rFonts w:ascii="Times New Roman"/>
          <w:sz w:val="32"/>
          <w:szCs w:val="32"/>
        </w:rPr>
        <w:t>根据预算绩效管理要求，本单位在2022年度预算编制阶段，组织对包括基本支出和项目支出21个项目开展了预算事前绩效评估，对21个项目编制了绩效目标，预算执行过程中，选取1个项目开展绩效监控，组织对21个项目开展绩效自评，绩效自评表详见第四部分附件。</w:t>
      </w:r>
    </w:p>
    <w:p>
      <w:pPr>
        <w:widowControl/>
        <w:jc w:val="left"/>
        <w:rPr>
          <w:rFonts w:eastAsia="仿宋_GB2312"/>
          <w:b/>
          <w:sz w:val="32"/>
          <w:szCs w:val="32"/>
        </w:rPr>
      </w:pPr>
      <w:r>
        <w:rPr>
          <w:rFonts w:eastAsia="仿宋_GB2312"/>
          <w:b/>
          <w:sz w:val="32"/>
          <w:szCs w:val="32"/>
        </w:rPr>
        <w:br w:type="page"/>
      </w:r>
    </w:p>
    <w:p>
      <w:pPr>
        <w:numPr>
          <w:ilvl w:val="0"/>
          <w:numId w:val="3"/>
        </w:numPr>
        <w:spacing w:line="600" w:lineRule="exact"/>
        <w:ind w:firstLine="660" w:firstLineChars="150"/>
        <w:jc w:val="center"/>
        <w:outlineLvl w:val="0"/>
        <w:rPr>
          <w:rStyle w:val="18"/>
          <w:rFonts w:eastAsia="黑体"/>
          <w:b w:val="0"/>
        </w:rPr>
      </w:pPr>
      <w:bookmarkStart w:id="77" w:name="_Toc15377225"/>
      <w:bookmarkStart w:id="78" w:name="_Toc15396613"/>
      <w:bookmarkStart w:id="79" w:name="_Toc143854316"/>
      <w:r>
        <w:rPr>
          <w:rFonts w:eastAsia="黑体"/>
          <w:sz w:val="44"/>
          <w:szCs w:val="44"/>
        </w:rPr>
        <w:t>名</w:t>
      </w:r>
      <w:r>
        <w:rPr>
          <w:rStyle w:val="18"/>
          <w:rFonts w:eastAsia="黑体"/>
          <w:b w:val="0"/>
        </w:rPr>
        <w:t>词解释</w:t>
      </w:r>
      <w:bookmarkEnd w:id="77"/>
      <w:bookmarkEnd w:id="78"/>
      <w:bookmarkEnd w:id="79"/>
    </w:p>
    <w:p>
      <w:pPr>
        <w:spacing w:line="600" w:lineRule="exact"/>
        <w:jc w:val="left"/>
        <w:rPr>
          <w:b/>
          <w:sz w:val="44"/>
          <w:szCs w:val="44"/>
        </w:rPr>
      </w:pP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1.财政拨款收入：指单位从同级财政部门取得的财政预算资金。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3.其他收入：指单位取得的除上述收入以外的各项收入。主要是利息收入等。</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4.使用非财政拨款结余：指事业单位使用以前年度积累的非财政拨款结余弥补当年收支差额的金额。</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5.年初结转和结余：指以前年度尚未完成、结转到本年按有关规定继续使用的资金。</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6.结余分配：指事业单位按照会计制度规定缴纳的所得税、提取的专用结余以及转入非财政拨款结余的金额等。</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7、年末结转和结余：指单位按有关规定结转到下年或以后年度继续使用的资金。</w:t>
      </w:r>
    </w:p>
    <w:p>
      <w:pPr>
        <w:ind w:firstLine="640" w:firstLineChars="200"/>
        <w:rPr>
          <w:rFonts w:eastAsia="仿宋_GB2312"/>
          <w:sz w:val="32"/>
          <w:szCs w:val="32"/>
        </w:rPr>
      </w:pPr>
      <w:r>
        <w:rPr>
          <w:rFonts w:eastAsia="仿宋_GB2312"/>
          <w:sz w:val="32"/>
          <w:szCs w:val="32"/>
        </w:rPr>
        <w:t>8.社会保障和就业（类）</w:t>
      </w:r>
      <w:r>
        <w:rPr>
          <w:rFonts w:eastAsia="仿宋_GB2312"/>
          <w:kern w:val="0"/>
          <w:sz w:val="32"/>
          <w:szCs w:val="32"/>
        </w:rPr>
        <w:t>退役军人管理事务</w:t>
      </w:r>
      <w:r>
        <w:rPr>
          <w:rFonts w:eastAsia="仿宋_GB2312"/>
          <w:sz w:val="32"/>
          <w:szCs w:val="32"/>
        </w:rPr>
        <w:t>（款）</w:t>
      </w:r>
      <w:r>
        <w:rPr>
          <w:rFonts w:eastAsia="仿宋_GB2312"/>
          <w:kern w:val="0"/>
          <w:sz w:val="32"/>
          <w:szCs w:val="32"/>
        </w:rPr>
        <w:t>事业运行</w:t>
      </w:r>
      <w:r>
        <w:rPr>
          <w:rFonts w:eastAsia="仿宋_GB2312"/>
          <w:sz w:val="32"/>
          <w:szCs w:val="32"/>
        </w:rPr>
        <w:t>（项）：指</w:t>
      </w:r>
      <w:r>
        <w:rPr>
          <w:rFonts w:eastAsia="仿宋_GB2312"/>
          <w:kern w:val="0"/>
          <w:sz w:val="32"/>
          <w:szCs w:val="32"/>
        </w:rPr>
        <w:t>事业单位的基本支出</w:t>
      </w:r>
      <w:r>
        <w:rPr>
          <w:rFonts w:eastAsia="仿宋_GB2312"/>
          <w:sz w:val="32"/>
          <w:szCs w:val="32"/>
        </w:rPr>
        <w:t>。</w:t>
      </w:r>
    </w:p>
    <w:p>
      <w:pPr>
        <w:spacing w:line="540" w:lineRule="exact"/>
        <w:ind w:firstLine="640" w:firstLineChars="200"/>
        <w:rPr>
          <w:rFonts w:eastAsia="仿宋_GB2312"/>
          <w:kern w:val="0"/>
          <w:sz w:val="32"/>
          <w:szCs w:val="32"/>
        </w:rPr>
      </w:pPr>
      <w:r>
        <w:rPr>
          <w:rFonts w:eastAsia="仿宋_GB2312"/>
          <w:sz w:val="32"/>
          <w:szCs w:val="32"/>
        </w:rPr>
        <w:t>9.住房保障（类）</w:t>
      </w:r>
      <w:r>
        <w:rPr>
          <w:rFonts w:eastAsia="仿宋_GB2312"/>
          <w:kern w:val="0"/>
          <w:sz w:val="32"/>
          <w:szCs w:val="32"/>
        </w:rPr>
        <w:t>住房改革支出</w:t>
      </w:r>
      <w:r>
        <w:rPr>
          <w:rFonts w:eastAsia="仿宋_GB2312"/>
          <w:sz w:val="32"/>
          <w:szCs w:val="32"/>
        </w:rPr>
        <w:t>（款）</w:t>
      </w:r>
      <w:r>
        <w:rPr>
          <w:rFonts w:eastAsia="仿宋_GB2312"/>
          <w:kern w:val="0"/>
          <w:sz w:val="32"/>
          <w:szCs w:val="32"/>
        </w:rPr>
        <w:t>住房公积金</w:t>
      </w:r>
      <w:r>
        <w:rPr>
          <w:rFonts w:eastAsia="仿宋_GB2312"/>
          <w:sz w:val="32"/>
          <w:szCs w:val="32"/>
        </w:rPr>
        <w:t>（项）：指</w:t>
      </w:r>
      <w:r>
        <w:rPr>
          <w:rFonts w:eastAsia="仿宋_GB2312"/>
          <w:kern w:val="0"/>
          <w:sz w:val="32"/>
          <w:szCs w:val="32"/>
        </w:rPr>
        <w:t>指行政事业单位按人力资源和社会保障部、财政部规定的基本工资和津贴补贴以及规定比例为职工缴纳的住房公积金。</w:t>
      </w:r>
    </w:p>
    <w:p>
      <w:pPr>
        <w:ind w:firstLine="640" w:firstLineChars="200"/>
        <w:rPr>
          <w:rFonts w:eastAsia="仿宋_GB2312"/>
          <w:sz w:val="32"/>
          <w:szCs w:val="32"/>
        </w:rPr>
      </w:pPr>
      <w:r>
        <w:rPr>
          <w:rFonts w:eastAsia="仿宋_GB2312"/>
          <w:sz w:val="32"/>
          <w:szCs w:val="32"/>
        </w:rPr>
        <w:t>10.基本支出：指为保障机构正常运转、完成日常工作任务而发生的人员支出和公用支出。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11.项目支出：指在基本支出之外为完成特定行政任务和事业发展目标所发生的支出。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jc w:val="left"/>
        <w:outlineLvl w:val="0"/>
        <w:rPr>
          <w:rFonts w:eastAsia="仿宋_GB2312"/>
          <w:kern w:val="0"/>
          <w:sz w:val="32"/>
          <w:szCs w:val="32"/>
        </w:rPr>
      </w:pPr>
      <w:bookmarkStart w:id="80" w:name="_Toc15377226"/>
      <w:r>
        <w:rPr>
          <w:rFonts w:eastAsia="仿宋_GB2312"/>
          <w:kern w:val="0"/>
          <w:sz w:val="32"/>
          <w:szCs w:val="32"/>
        </w:rPr>
        <w:t>14.</w:t>
      </w:r>
      <w:r>
        <w:rPr>
          <w:rFonts w:eastAsia="仿宋_GB2312"/>
          <w:sz w:val="32"/>
          <w:szCs w:val="32"/>
        </w:rPr>
        <w:t xml:space="preserve"> 社会保障和就业（类）退役安置（款）</w:t>
      </w:r>
      <w:r>
        <w:rPr>
          <w:rFonts w:eastAsia="仿宋_GB2312"/>
          <w:kern w:val="0"/>
          <w:sz w:val="32"/>
          <w:szCs w:val="32"/>
        </w:rPr>
        <w:t>退役士兵管理教育（项）：反映退役士兵职业教育、转业士官待分配期间管理教育、医疗支出等。</w:t>
      </w:r>
    </w:p>
    <w:p>
      <w:pPr>
        <w:spacing w:line="600" w:lineRule="exact"/>
        <w:ind w:firstLine="640" w:firstLineChars="200"/>
        <w:jc w:val="left"/>
        <w:outlineLvl w:val="0"/>
        <w:rPr>
          <w:rFonts w:eastAsia="仿宋_GB2312"/>
          <w:kern w:val="0"/>
          <w:sz w:val="32"/>
          <w:szCs w:val="32"/>
        </w:rPr>
      </w:pPr>
      <w:r>
        <w:rPr>
          <w:rFonts w:eastAsia="仿宋_GB2312"/>
          <w:kern w:val="0"/>
          <w:sz w:val="32"/>
          <w:szCs w:val="32"/>
        </w:rPr>
        <w:t>15.</w:t>
      </w:r>
      <w:r>
        <w:rPr>
          <w:rFonts w:eastAsia="仿宋_GB2312"/>
          <w:sz w:val="32"/>
          <w:szCs w:val="32"/>
        </w:rPr>
        <w:t xml:space="preserve"> 社会保障和就业（类）</w:t>
      </w:r>
      <w:r>
        <w:rPr>
          <w:rFonts w:eastAsia="仿宋_GB2312"/>
          <w:kern w:val="0"/>
          <w:sz w:val="32"/>
          <w:szCs w:val="32"/>
        </w:rPr>
        <w:t>人力资源和社会保障管理事务（款）其他人力资源和社会保障管理事务支出（项）：反映其他用于人力资源和社会</w:t>
      </w:r>
      <w:bookmarkStart w:id="112" w:name="_GoBack"/>
      <w:bookmarkEnd w:id="112"/>
      <w:r>
        <w:rPr>
          <w:rFonts w:eastAsia="仿宋_GB2312"/>
          <w:kern w:val="0"/>
          <w:sz w:val="32"/>
          <w:szCs w:val="32"/>
        </w:rPr>
        <w:t>保障管理事务方面的支出。</w:t>
      </w:r>
    </w:p>
    <w:p>
      <w:pPr>
        <w:spacing w:line="600" w:lineRule="exact"/>
        <w:ind w:firstLine="640" w:firstLineChars="200"/>
        <w:jc w:val="left"/>
        <w:outlineLvl w:val="0"/>
        <w:rPr>
          <w:rStyle w:val="18"/>
          <w:rFonts w:eastAsia="黑体"/>
          <w:b w:val="0"/>
        </w:rPr>
      </w:pPr>
      <w:r>
        <w:rPr>
          <w:rFonts w:eastAsia="仿宋_GB2312"/>
          <w:kern w:val="0"/>
          <w:sz w:val="32"/>
          <w:szCs w:val="32"/>
        </w:rPr>
        <w:br w:type="page"/>
      </w:r>
      <w:bookmarkStart w:id="81" w:name="_Toc143854317"/>
      <w:bookmarkStart w:id="82" w:name="_Toc15396614"/>
      <w:r>
        <w:rPr>
          <w:rFonts w:eastAsia="黑体"/>
          <w:sz w:val="44"/>
          <w:szCs w:val="44"/>
        </w:rPr>
        <w:t>第</w:t>
      </w:r>
      <w:r>
        <w:rPr>
          <w:rStyle w:val="18"/>
          <w:rFonts w:eastAsia="黑体"/>
          <w:b w:val="0"/>
        </w:rPr>
        <w:t>四部分附件</w:t>
      </w:r>
      <w:bookmarkEnd w:id="81"/>
      <w:bookmarkEnd w:id="82"/>
    </w:p>
    <w:p>
      <w:pPr>
        <w:spacing w:line="572" w:lineRule="exact"/>
        <w:jc w:val="left"/>
        <w:outlineLvl w:val="0"/>
        <w:rPr>
          <w:rFonts w:eastAsia="仿宋_GB2312"/>
          <w:sz w:val="32"/>
          <w:szCs w:val="32"/>
        </w:rPr>
      </w:pPr>
    </w:p>
    <w:p>
      <w:pPr>
        <w:spacing w:line="600" w:lineRule="exact"/>
        <w:jc w:val="center"/>
        <w:outlineLvl w:val="0"/>
        <w:rPr>
          <w:kern w:val="0"/>
          <w:sz w:val="32"/>
          <w:szCs w:val="32"/>
        </w:rPr>
      </w:pPr>
      <w:bookmarkStart w:id="83" w:name="_Toc143854318"/>
      <w:bookmarkStart w:id="84" w:name="_Toc15396618"/>
      <w:r>
        <w:rPr>
          <w:kern w:val="0"/>
          <w:sz w:val="32"/>
          <w:szCs w:val="32"/>
        </w:rPr>
        <w:t>部门预算项目支出绩效自评表（2022年度）</w:t>
      </w:r>
      <w:bookmarkEnd w:id="83"/>
      <w:r>
        <w:rPr>
          <w:kern w:val="0"/>
          <w:sz w:val="32"/>
          <w:szCs w:val="32"/>
        </w:rPr>
        <w:t>见附件3</w:t>
      </w:r>
    </w:p>
    <w:p>
      <w:pPr>
        <w:spacing w:line="600" w:lineRule="exact"/>
        <w:jc w:val="left"/>
        <w:outlineLvl w:val="0"/>
        <w:rPr>
          <w:rFonts w:eastAsia="仿宋_GB2312"/>
          <w:kern w:val="0"/>
          <w:sz w:val="32"/>
          <w:szCs w:val="32"/>
        </w:rPr>
      </w:pPr>
    </w:p>
    <w:p>
      <w:pPr>
        <w:spacing w:line="600" w:lineRule="exact"/>
        <w:jc w:val="center"/>
        <w:outlineLvl w:val="0"/>
        <w:rPr>
          <w:rFonts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pStyle w:val="2"/>
        <w:spacing w:before="93"/>
        <w:rPr>
          <w:rFonts w:ascii="Times New Roman" w:eastAsia="黑体"/>
          <w:sz w:val="44"/>
          <w:szCs w:val="44"/>
        </w:rPr>
      </w:pPr>
    </w:p>
    <w:p>
      <w:pPr>
        <w:spacing w:line="600" w:lineRule="exact"/>
        <w:jc w:val="center"/>
        <w:outlineLvl w:val="0"/>
        <w:rPr>
          <w:rFonts w:eastAsia="黑体"/>
          <w:sz w:val="44"/>
          <w:szCs w:val="44"/>
        </w:rPr>
      </w:pPr>
    </w:p>
    <w:p>
      <w:pPr>
        <w:spacing w:line="600" w:lineRule="exact"/>
        <w:jc w:val="center"/>
        <w:outlineLvl w:val="0"/>
        <w:rPr>
          <w:rFonts w:eastAsia="仿宋"/>
        </w:rPr>
      </w:pPr>
      <w:bookmarkStart w:id="85" w:name="_Toc143854320"/>
      <w:r>
        <w:rPr>
          <w:rFonts w:eastAsia="黑体"/>
          <w:sz w:val="44"/>
          <w:szCs w:val="44"/>
        </w:rPr>
        <w:t>第</w:t>
      </w:r>
      <w:r>
        <w:rPr>
          <w:rStyle w:val="18"/>
          <w:rFonts w:eastAsia="黑体"/>
          <w:b w:val="0"/>
        </w:rPr>
        <w:t>五部分附表</w:t>
      </w:r>
      <w:bookmarkEnd w:id="80"/>
      <w:bookmarkEnd w:id="84"/>
      <w:bookmarkEnd w:id="85"/>
      <w:bookmarkStart w:id="86" w:name="_Toc15396619"/>
    </w:p>
    <w:p>
      <w:pPr>
        <w:pStyle w:val="4"/>
        <w:rPr>
          <w:rFonts w:ascii="Times New Roman" w:hAnsi="Times New Roman" w:eastAsia="仿宋" w:cs="Times New Roman"/>
        </w:rPr>
      </w:pPr>
      <w:bookmarkStart w:id="87" w:name="_Toc143854321"/>
      <w:r>
        <w:rPr>
          <w:rFonts w:ascii="Times New Roman" w:hAnsi="Times New Roman" w:eastAsia="仿宋" w:cs="Times New Roman"/>
          <w:b w:val="0"/>
        </w:rPr>
        <w:t>一、收</w:t>
      </w:r>
      <w:r>
        <w:rPr>
          <w:rStyle w:val="19"/>
          <w:rFonts w:ascii="Times New Roman" w:hAnsi="Times New Roman" w:eastAsia="仿宋" w:cs="Times New Roman"/>
          <w:b w:val="0"/>
          <w:bCs w:val="0"/>
        </w:rPr>
        <w:t>入支出决算总表</w:t>
      </w:r>
      <w:bookmarkEnd w:id="86"/>
      <w:bookmarkEnd w:id="87"/>
    </w:p>
    <w:p>
      <w:pPr>
        <w:pStyle w:val="4"/>
        <w:rPr>
          <w:rFonts w:ascii="Times New Roman" w:hAnsi="Times New Roman" w:eastAsia="仿宋" w:cs="Times New Roman"/>
        </w:rPr>
      </w:pPr>
      <w:bookmarkStart w:id="88" w:name="_Toc15396620"/>
      <w:bookmarkStart w:id="89" w:name="_Toc143854322"/>
      <w:r>
        <w:rPr>
          <w:rFonts w:ascii="Times New Roman" w:hAnsi="Times New Roman" w:eastAsia="仿宋" w:cs="Times New Roman"/>
          <w:b w:val="0"/>
        </w:rPr>
        <w:t>二、收</w:t>
      </w:r>
      <w:r>
        <w:rPr>
          <w:rStyle w:val="19"/>
          <w:rFonts w:ascii="Times New Roman" w:hAnsi="Times New Roman" w:eastAsia="仿宋" w:cs="Times New Roman"/>
          <w:b w:val="0"/>
          <w:bCs w:val="0"/>
        </w:rPr>
        <w:t>入决算表</w:t>
      </w:r>
      <w:bookmarkEnd w:id="88"/>
      <w:bookmarkEnd w:id="89"/>
    </w:p>
    <w:p>
      <w:pPr>
        <w:pStyle w:val="4"/>
        <w:rPr>
          <w:rFonts w:ascii="Times New Roman" w:hAnsi="Times New Roman" w:eastAsia="仿宋" w:cs="Times New Roman"/>
        </w:rPr>
      </w:pPr>
      <w:bookmarkStart w:id="90" w:name="_Toc143854323"/>
      <w:bookmarkStart w:id="91" w:name="_Toc15396621"/>
      <w:r>
        <w:rPr>
          <w:rStyle w:val="19"/>
          <w:rFonts w:ascii="Times New Roman" w:hAnsi="Times New Roman" w:eastAsia="仿宋" w:cs="Times New Roman"/>
          <w:b w:val="0"/>
          <w:bCs w:val="0"/>
        </w:rPr>
        <w:t>三、</w:t>
      </w:r>
      <w:r>
        <w:rPr>
          <w:rFonts w:ascii="Times New Roman" w:hAnsi="Times New Roman" w:eastAsia="仿宋" w:cs="Times New Roman"/>
          <w:b w:val="0"/>
        </w:rPr>
        <w:t>支</w:t>
      </w:r>
      <w:r>
        <w:rPr>
          <w:rStyle w:val="19"/>
          <w:rFonts w:ascii="Times New Roman" w:hAnsi="Times New Roman" w:eastAsia="仿宋" w:cs="Times New Roman"/>
          <w:b w:val="0"/>
          <w:bCs w:val="0"/>
        </w:rPr>
        <w:t>出决算表</w:t>
      </w:r>
      <w:bookmarkEnd w:id="90"/>
      <w:bookmarkEnd w:id="91"/>
    </w:p>
    <w:p>
      <w:pPr>
        <w:pStyle w:val="4"/>
        <w:rPr>
          <w:rFonts w:ascii="Times New Roman" w:hAnsi="Times New Roman" w:eastAsia="仿宋" w:cs="Times New Roman"/>
          <w:b w:val="0"/>
        </w:rPr>
      </w:pPr>
      <w:bookmarkStart w:id="92" w:name="_Toc15396622"/>
      <w:bookmarkStart w:id="93" w:name="_Toc143854324"/>
      <w:r>
        <w:rPr>
          <w:rStyle w:val="19"/>
          <w:rFonts w:ascii="Times New Roman" w:hAnsi="Times New Roman" w:eastAsia="仿宋" w:cs="Times New Roman"/>
          <w:b w:val="0"/>
          <w:bCs w:val="0"/>
        </w:rPr>
        <w:t>四、</w:t>
      </w:r>
      <w:r>
        <w:rPr>
          <w:rFonts w:ascii="Times New Roman" w:hAnsi="Times New Roman" w:eastAsia="仿宋" w:cs="Times New Roman"/>
          <w:b w:val="0"/>
        </w:rPr>
        <w:t>财</w:t>
      </w:r>
      <w:r>
        <w:rPr>
          <w:rStyle w:val="19"/>
          <w:rFonts w:ascii="Times New Roman" w:hAnsi="Times New Roman" w:eastAsia="仿宋" w:cs="Times New Roman"/>
          <w:b w:val="0"/>
          <w:bCs w:val="0"/>
        </w:rPr>
        <w:t>政拨款收入支出决算总表</w:t>
      </w:r>
      <w:bookmarkEnd w:id="92"/>
      <w:bookmarkEnd w:id="93"/>
    </w:p>
    <w:p>
      <w:pPr>
        <w:pStyle w:val="4"/>
        <w:rPr>
          <w:rStyle w:val="19"/>
          <w:rFonts w:ascii="Times New Roman" w:hAnsi="Times New Roman" w:eastAsia="仿宋" w:cs="Times New Roman"/>
          <w:b w:val="0"/>
          <w:bCs w:val="0"/>
        </w:rPr>
      </w:pPr>
      <w:bookmarkStart w:id="94" w:name="_Toc143854325"/>
      <w:bookmarkStart w:id="95" w:name="_Toc15396623"/>
      <w:r>
        <w:rPr>
          <w:rStyle w:val="19"/>
          <w:rFonts w:ascii="Times New Roman" w:hAnsi="Times New Roman" w:eastAsia="仿宋" w:cs="Times New Roman"/>
          <w:b w:val="0"/>
          <w:bCs w:val="0"/>
        </w:rPr>
        <w:t>五、</w:t>
      </w:r>
      <w:r>
        <w:rPr>
          <w:rFonts w:ascii="Times New Roman" w:hAnsi="Times New Roman" w:eastAsia="仿宋" w:cs="Times New Roman"/>
          <w:b w:val="0"/>
        </w:rPr>
        <w:t>财</w:t>
      </w:r>
      <w:r>
        <w:rPr>
          <w:rStyle w:val="19"/>
          <w:rFonts w:ascii="Times New Roman" w:hAnsi="Times New Roman" w:eastAsia="仿宋" w:cs="Times New Roman"/>
          <w:b w:val="0"/>
          <w:bCs w:val="0"/>
        </w:rPr>
        <w:t>政拨款支出决算明细表</w:t>
      </w:r>
      <w:bookmarkEnd w:id="94"/>
      <w:bookmarkEnd w:id="95"/>
      <w:bookmarkStart w:id="96" w:name="_Toc15396624"/>
    </w:p>
    <w:p>
      <w:pPr>
        <w:pStyle w:val="4"/>
        <w:rPr>
          <w:rFonts w:ascii="Times New Roman" w:hAnsi="Times New Roman" w:eastAsia="仿宋" w:cs="Times New Roman"/>
        </w:rPr>
      </w:pPr>
      <w:bookmarkStart w:id="97" w:name="_Toc143854326"/>
      <w:r>
        <w:rPr>
          <w:rStyle w:val="19"/>
          <w:rFonts w:ascii="Times New Roman" w:hAnsi="Times New Roman" w:eastAsia="仿宋" w:cs="Times New Roman"/>
          <w:b w:val="0"/>
          <w:bCs w:val="0"/>
        </w:rPr>
        <w:t>六、</w:t>
      </w:r>
      <w:r>
        <w:rPr>
          <w:rFonts w:ascii="Times New Roman" w:hAnsi="Times New Roman" w:eastAsia="仿宋" w:cs="Times New Roman"/>
          <w:b w:val="0"/>
        </w:rPr>
        <w:t>一</w:t>
      </w:r>
      <w:r>
        <w:rPr>
          <w:rStyle w:val="19"/>
          <w:rFonts w:ascii="Times New Roman" w:hAnsi="Times New Roman" w:eastAsia="仿宋" w:cs="Times New Roman"/>
          <w:b w:val="0"/>
          <w:bCs w:val="0"/>
        </w:rPr>
        <w:t>般公共预算财政拨款支出决算表</w:t>
      </w:r>
      <w:bookmarkEnd w:id="96"/>
      <w:bookmarkEnd w:id="97"/>
    </w:p>
    <w:p>
      <w:pPr>
        <w:pStyle w:val="4"/>
        <w:rPr>
          <w:rFonts w:ascii="Times New Roman" w:hAnsi="Times New Roman" w:eastAsia="仿宋" w:cs="Times New Roman"/>
        </w:rPr>
      </w:pPr>
      <w:bookmarkStart w:id="98" w:name="_Toc15396625"/>
      <w:bookmarkStart w:id="99" w:name="_Toc143854327"/>
      <w:r>
        <w:rPr>
          <w:rStyle w:val="19"/>
          <w:rFonts w:ascii="Times New Roman" w:hAnsi="Times New Roman" w:eastAsia="仿宋" w:cs="Times New Roman"/>
          <w:b w:val="0"/>
          <w:bCs w:val="0"/>
        </w:rPr>
        <w:t>七、</w:t>
      </w:r>
      <w:r>
        <w:rPr>
          <w:rFonts w:ascii="Times New Roman" w:hAnsi="Times New Roman" w:eastAsia="仿宋" w:cs="Times New Roman"/>
          <w:b w:val="0"/>
        </w:rPr>
        <w:t>一</w:t>
      </w:r>
      <w:r>
        <w:rPr>
          <w:rStyle w:val="19"/>
          <w:rFonts w:ascii="Times New Roman" w:hAnsi="Times New Roman" w:eastAsia="仿宋" w:cs="Times New Roman"/>
          <w:b w:val="0"/>
          <w:bCs w:val="0"/>
        </w:rPr>
        <w:t>般公共预算财政拨款支出决算明细表</w:t>
      </w:r>
      <w:bookmarkEnd w:id="98"/>
      <w:bookmarkEnd w:id="99"/>
    </w:p>
    <w:p>
      <w:pPr>
        <w:pStyle w:val="4"/>
        <w:rPr>
          <w:rFonts w:ascii="Times New Roman" w:hAnsi="Times New Roman" w:eastAsia="仿宋" w:cs="Times New Roman"/>
        </w:rPr>
      </w:pPr>
      <w:bookmarkStart w:id="100" w:name="_Toc15396626"/>
      <w:bookmarkStart w:id="101" w:name="_Toc143854328"/>
      <w:r>
        <w:rPr>
          <w:rStyle w:val="19"/>
          <w:rFonts w:ascii="Times New Roman" w:hAnsi="Times New Roman" w:eastAsia="仿宋" w:cs="Times New Roman"/>
          <w:b w:val="0"/>
          <w:bCs w:val="0"/>
        </w:rPr>
        <w:t>八、</w:t>
      </w:r>
      <w:r>
        <w:rPr>
          <w:rFonts w:ascii="Times New Roman" w:hAnsi="Times New Roman" w:eastAsia="仿宋" w:cs="Times New Roman"/>
          <w:b w:val="0"/>
        </w:rPr>
        <w:t>一</w:t>
      </w:r>
      <w:r>
        <w:rPr>
          <w:rStyle w:val="19"/>
          <w:rFonts w:ascii="Times New Roman" w:hAnsi="Times New Roman" w:eastAsia="仿宋" w:cs="Times New Roman"/>
          <w:b w:val="0"/>
          <w:bCs w:val="0"/>
        </w:rPr>
        <w:t>般公共预算财政拨款基本支出决算表</w:t>
      </w:r>
      <w:bookmarkEnd w:id="100"/>
      <w:bookmarkEnd w:id="101"/>
    </w:p>
    <w:p>
      <w:pPr>
        <w:pStyle w:val="4"/>
        <w:rPr>
          <w:rFonts w:ascii="Times New Roman" w:hAnsi="Times New Roman" w:eastAsia="仿宋" w:cs="Times New Roman"/>
        </w:rPr>
      </w:pPr>
      <w:bookmarkStart w:id="102" w:name="_Toc15396627"/>
      <w:bookmarkStart w:id="103" w:name="_Toc143854329"/>
      <w:r>
        <w:rPr>
          <w:rStyle w:val="19"/>
          <w:rFonts w:ascii="Times New Roman" w:hAnsi="Times New Roman" w:eastAsia="仿宋" w:cs="Times New Roman"/>
          <w:b w:val="0"/>
          <w:bCs w:val="0"/>
        </w:rPr>
        <w:t>九、</w:t>
      </w:r>
      <w:r>
        <w:rPr>
          <w:rFonts w:ascii="Times New Roman" w:hAnsi="Times New Roman" w:eastAsia="仿宋" w:cs="Times New Roman"/>
          <w:b w:val="0"/>
        </w:rPr>
        <w:t>一</w:t>
      </w:r>
      <w:r>
        <w:rPr>
          <w:rStyle w:val="19"/>
          <w:rFonts w:ascii="Times New Roman" w:hAnsi="Times New Roman" w:eastAsia="仿宋" w:cs="Times New Roman"/>
          <w:b w:val="0"/>
          <w:bCs w:val="0"/>
        </w:rPr>
        <w:t>般公共预算财政拨款项目支出决算表</w:t>
      </w:r>
      <w:bookmarkEnd w:id="102"/>
      <w:bookmarkEnd w:id="103"/>
    </w:p>
    <w:p>
      <w:pPr>
        <w:pStyle w:val="4"/>
        <w:rPr>
          <w:rFonts w:ascii="Times New Roman" w:hAnsi="Times New Roman" w:eastAsia="仿宋" w:cs="Times New Roman"/>
        </w:rPr>
      </w:pPr>
      <w:bookmarkStart w:id="104" w:name="_Toc15396628"/>
      <w:bookmarkStart w:id="105" w:name="_Toc143854330"/>
      <w:r>
        <w:rPr>
          <w:rStyle w:val="19"/>
          <w:rFonts w:ascii="Times New Roman" w:hAnsi="Times New Roman" w:eastAsia="仿宋" w:cs="Times New Roman"/>
          <w:b w:val="0"/>
          <w:bCs w:val="0"/>
        </w:rPr>
        <w:t>十、</w:t>
      </w:r>
      <w:bookmarkEnd w:id="104"/>
      <w:r>
        <w:rPr>
          <w:rFonts w:ascii="Times New Roman" w:hAnsi="Times New Roman" w:eastAsia="仿宋" w:cs="Times New Roman"/>
          <w:b w:val="0"/>
        </w:rPr>
        <w:t>政</w:t>
      </w:r>
      <w:r>
        <w:rPr>
          <w:rStyle w:val="19"/>
          <w:rFonts w:ascii="Times New Roman" w:hAnsi="Times New Roman" w:eastAsia="仿宋" w:cs="Times New Roman"/>
          <w:b w:val="0"/>
          <w:bCs w:val="0"/>
        </w:rPr>
        <w:t>府性基金预算财政拨款收入支出决算表</w:t>
      </w:r>
      <w:bookmarkEnd w:id="105"/>
    </w:p>
    <w:p>
      <w:pPr>
        <w:pStyle w:val="4"/>
        <w:rPr>
          <w:rFonts w:ascii="Times New Roman" w:hAnsi="Times New Roman" w:eastAsia="仿宋" w:cs="Times New Roman"/>
        </w:rPr>
      </w:pPr>
      <w:bookmarkStart w:id="106" w:name="_Toc15396629"/>
      <w:bookmarkStart w:id="107" w:name="_Toc143854331"/>
      <w:r>
        <w:rPr>
          <w:rStyle w:val="19"/>
          <w:rFonts w:ascii="Times New Roman" w:hAnsi="Times New Roman" w:eastAsia="仿宋" w:cs="Times New Roman"/>
          <w:b w:val="0"/>
          <w:bCs w:val="0"/>
        </w:rPr>
        <w:t>十一、</w:t>
      </w:r>
      <w:bookmarkEnd w:id="106"/>
      <w:r>
        <w:rPr>
          <w:rFonts w:ascii="Times New Roman" w:hAnsi="Times New Roman" w:eastAsia="仿宋" w:cs="Times New Roman"/>
          <w:b w:val="0"/>
        </w:rPr>
        <w:t>国</w:t>
      </w:r>
      <w:r>
        <w:rPr>
          <w:rStyle w:val="19"/>
          <w:rFonts w:ascii="Times New Roman" w:hAnsi="Times New Roman" w:eastAsia="仿宋" w:cs="Times New Roman"/>
          <w:b w:val="0"/>
          <w:bCs w:val="0"/>
        </w:rPr>
        <w:t>有资本经营预算财政拨款收入支出决算表</w:t>
      </w:r>
      <w:bookmarkEnd w:id="107"/>
    </w:p>
    <w:p>
      <w:pPr>
        <w:pStyle w:val="4"/>
        <w:rPr>
          <w:rFonts w:ascii="Times New Roman" w:hAnsi="Times New Roman" w:eastAsia="仿宋" w:cs="Times New Roman"/>
        </w:rPr>
      </w:pPr>
      <w:bookmarkStart w:id="108" w:name="_Toc15396630"/>
      <w:bookmarkStart w:id="109" w:name="_Toc143854332"/>
      <w:r>
        <w:rPr>
          <w:rStyle w:val="19"/>
          <w:rFonts w:ascii="Times New Roman" w:hAnsi="Times New Roman" w:eastAsia="仿宋" w:cs="Times New Roman"/>
          <w:b w:val="0"/>
          <w:bCs w:val="0"/>
        </w:rPr>
        <w:t>十二、</w:t>
      </w:r>
      <w:bookmarkEnd w:id="108"/>
      <w:r>
        <w:rPr>
          <w:rStyle w:val="19"/>
          <w:rFonts w:ascii="Times New Roman" w:hAnsi="Times New Roman" w:eastAsia="仿宋" w:cs="Times New Roman"/>
          <w:b w:val="0"/>
          <w:bCs w:val="0"/>
        </w:rPr>
        <w:t>国有资本经营预算财政拨款支出决算表</w:t>
      </w:r>
      <w:bookmarkEnd w:id="109"/>
    </w:p>
    <w:p>
      <w:pPr>
        <w:pStyle w:val="4"/>
        <w:rPr>
          <w:rFonts w:ascii="Times New Roman" w:hAnsi="Times New Roman" w:eastAsia="仿宋" w:cs="Times New Roman"/>
        </w:rPr>
      </w:pPr>
      <w:bookmarkStart w:id="110" w:name="_Toc15396631"/>
      <w:bookmarkStart w:id="111" w:name="_Toc143854333"/>
      <w:r>
        <w:rPr>
          <w:rStyle w:val="19"/>
          <w:rFonts w:ascii="Times New Roman" w:hAnsi="Times New Roman" w:eastAsia="仿宋" w:cs="Times New Roman"/>
          <w:b w:val="0"/>
          <w:bCs w:val="0"/>
        </w:rPr>
        <w:t>十三、</w:t>
      </w:r>
      <w:bookmarkEnd w:id="110"/>
      <w:r>
        <w:rPr>
          <w:rStyle w:val="19"/>
          <w:rFonts w:ascii="Times New Roman" w:hAnsi="Times New Roman" w:eastAsia="仿宋" w:cs="Times New Roman"/>
          <w:b w:val="0"/>
          <w:bCs w:val="0"/>
        </w:rPr>
        <w:t>财政拨款“三公”经费支出决算表</w:t>
      </w:r>
      <w:bookmarkEnd w:id="11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mNTY2MjA0MmRjZDlhYzNlY2E1MTM5NjBkNDg2ZDYifQ=="/>
  </w:docVars>
  <w:rsids>
    <w:rsidRoot w:val="00F1361C"/>
    <w:rsid w:val="0002170E"/>
    <w:rsid w:val="000222C6"/>
    <w:rsid w:val="0002549F"/>
    <w:rsid w:val="00031C76"/>
    <w:rsid w:val="00034404"/>
    <w:rsid w:val="000468DB"/>
    <w:rsid w:val="0006487A"/>
    <w:rsid w:val="00065F8F"/>
    <w:rsid w:val="00070A43"/>
    <w:rsid w:val="000768F2"/>
    <w:rsid w:val="00080F97"/>
    <w:rsid w:val="00081DBC"/>
    <w:rsid w:val="0009184B"/>
    <w:rsid w:val="00094236"/>
    <w:rsid w:val="0009593C"/>
    <w:rsid w:val="00097322"/>
    <w:rsid w:val="000A6A92"/>
    <w:rsid w:val="000B047F"/>
    <w:rsid w:val="000B5923"/>
    <w:rsid w:val="000B5A48"/>
    <w:rsid w:val="000B6FF3"/>
    <w:rsid w:val="000C3467"/>
    <w:rsid w:val="000C3CA6"/>
    <w:rsid w:val="000C4D65"/>
    <w:rsid w:val="000C7AD6"/>
    <w:rsid w:val="000D1267"/>
    <w:rsid w:val="000D1D50"/>
    <w:rsid w:val="000D5782"/>
    <w:rsid w:val="000E6613"/>
    <w:rsid w:val="000E7119"/>
    <w:rsid w:val="000F3CB5"/>
    <w:rsid w:val="000F3D30"/>
    <w:rsid w:val="00114E9B"/>
    <w:rsid w:val="00123991"/>
    <w:rsid w:val="00142216"/>
    <w:rsid w:val="00144CBC"/>
    <w:rsid w:val="00144D6A"/>
    <w:rsid w:val="00145152"/>
    <w:rsid w:val="00145C8E"/>
    <w:rsid w:val="0014729F"/>
    <w:rsid w:val="00157BAB"/>
    <w:rsid w:val="001654D1"/>
    <w:rsid w:val="00174518"/>
    <w:rsid w:val="0018106D"/>
    <w:rsid w:val="001877A7"/>
    <w:rsid w:val="00191536"/>
    <w:rsid w:val="00196687"/>
    <w:rsid w:val="001A226E"/>
    <w:rsid w:val="001A615B"/>
    <w:rsid w:val="001C0962"/>
    <w:rsid w:val="001C6561"/>
    <w:rsid w:val="001D7531"/>
    <w:rsid w:val="001E4934"/>
    <w:rsid w:val="001E737D"/>
    <w:rsid w:val="001F0592"/>
    <w:rsid w:val="001F1472"/>
    <w:rsid w:val="001F6DA0"/>
    <w:rsid w:val="001F7506"/>
    <w:rsid w:val="002006CD"/>
    <w:rsid w:val="00202B36"/>
    <w:rsid w:val="00204B7A"/>
    <w:rsid w:val="00204CDE"/>
    <w:rsid w:val="0021101A"/>
    <w:rsid w:val="0021722E"/>
    <w:rsid w:val="00220536"/>
    <w:rsid w:val="00223D05"/>
    <w:rsid w:val="00235629"/>
    <w:rsid w:val="00260950"/>
    <w:rsid w:val="00260C38"/>
    <w:rsid w:val="00260C9E"/>
    <w:rsid w:val="002616C0"/>
    <w:rsid w:val="00265372"/>
    <w:rsid w:val="002662AA"/>
    <w:rsid w:val="002756C4"/>
    <w:rsid w:val="00280436"/>
    <w:rsid w:val="00280496"/>
    <w:rsid w:val="00290A90"/>
    <w:rsid w:val="00294DC9"/>
    <w:rsid w:val="00295495"/>
    <w:rsid w:val="00297E3D"/>
    <w:rsid w:val="002A31DE"/>
    <w:rsid w:val="002B2613"/>
    <w:rsid w:val="002D22D8"/>
    <w:rsid w:val="002D6D05"/>
    <w:rsid w:val="002E2B59"/>
    <w:rsid w:val="002F1818"/>
    <w:rsid w:val="002F567B"/>
    <w:rsid w:val="00321339"/>
    <w:rsid w:val="003216A9"/>
    <w:rsid w:val="00335A74"/>
    <w:rsid w:val="0036561B"/>
    <w:rsid w:val="0037013F"/>
    <w:rsid w:val="003726AB"/>
    <w:rsid w:val="00380C92"/>
    <w:rsid w:val="0039754C"/>
    <w:rsid w:val="003A42FE"/>
    <w:rsid w:val="003A484F"/>
    <w:rsid w:val="003A4883"/>
    <w:rsid w:val="003B0BE0"/>
    <w:rsid w:val="003B0C1B"/>
    <w:rsid w:val="003B688C"/>
    <w:rsid w:val="003C001D"/>
    <w:rsid w:val="003C0291"/>
    <w:rsid w:val="003C39AE"/>
    <w:rsid w:val="003C51A2"/>
    <w:rsid w:val="003C7B60"/>
    <w:rsid w:val="003D0C0F"/>
    <w:rsid w:val="003D1718"/>
    <w:rsid w:val="003D1FB2"/>
    <w:rsid w:val="003D66DA"/>
    <w:rsid w:val="003E1310"/>
    <w:rsid w:val="003E1CC7"/>
    <w:rsid w:val="003E579B"/>
    <w:rsid w:val="003E6F55"/>
    <w:rsid w:val="00403ABC"/>
    <w:rsid w:val="00406254"/>
    <w:rsid w:val="004110D5"/>
    <w:rsid w:val="00421B88"/>
    <w:rsid w:val="004223DE"/>
    <w:rsid w:val="00434489"/>
    <w:rsid w:val="00437085"/>
    <w:rsid w:val="00443880"/>
    <w:rsid w:val="004464F4"/>
    <w:rsid w:val="004557F2"/>
    <w:rsid w:val="00464B39"/>
    <w:rsid w:val="00471401"/>
    <w:rsid w:val="00473F31"/>
    <w:rsid w:val="0048263A"/>
    <w:rsid w:val="00482937"/>
    <w:rsid w:val="00485945"/>
    <w:rsid w:val="00487E5D"/>
    <w:rsid w:val="00497D5C"/>
    <w:rsid w:val="004A3A2C"/>
    <w:rsid w:val="004A711F"/>
    <w:rsid w:val="004B199D"/>
    <w:rsid w:val="004B4690"/>
    <w:rsid w:val="004C261E"/>
    <w:rsid w:val="004C6E8E"/>
    <w:rsid w:val="004E0A2D"/>
    <w:rsid w:val="004E206B"/>
    <w:rsid w:val="004E3FC4"/>
    <w:rsid w:val="004E6DF7"/>
    <w:rsid w:val="004E75A5"/>
    <w:rsid w:val="004F0FBD"/>
    <w:rsid w:val="00505A47"/>
    <w:rsid w:val="00512FDA"/>
    <w:rsid w:val="00520DA0"/>
    <w:rsid w:val="00522E5E"/>
    <w:rsid w:val="00524ECA"/>
    <w:rsid w:val="00532870"/>
    <w:rsid w:val="00542862"/>
    <w:rsid w:val="00562233"/>
    <w:rsid w:val="0056238D"/>
    <w:rsid w:val="005664BB"/>
    <w:rsid w:val="00566FFA"/>
    <w:rsid w:val="0057481D"/>
    <w:rsid w:val="005809FA"/>
    <w:rsid w:val="0058486E"/>
    <w:rsid w:val="00585B33"/>
    <w:rsid w:val="0059014D"/>
    <w:rsid w:val="005919AB"/>
    <w:rsid w:val="005B5C64"/>
    <w:rsid w:val="005C5337"/>
    <w:rsid w:val="005C6BD0"/>
    <w:rsid w:val="005D1C8B"/>
    <w:rsid w:val="005D468D"/>
    <w:rsid w:val="005D5CED"/>
    <w:rsid w:val="005D7203"/>
    <w:rsid w:val="005F1A4C"/>
    <w:rsid w:val="00605688"/>
    <w:rsid w:val="006070AF"/>
    <w:rsid w:val="00607E6C"/>
    <w:rsid w:val="006101B1"/>
    <w:rsid w:val="00614E44"/>
    <w:rsid w:val="0062270A"/>
    <w:rsid w:val="00622830"/>
    <w:rsid w:val="00623DA0"/>
    <w:rsid w:val="00630AEF"/>
    <w:rsid w:val="006325F8"/>
    <w:rsid w:val="00633463"/>
    <w:rsid w:val="00634C9A"/>
    <w:rsid w:val="00642312"/>
    <w:rsid w:val="006440E4"/>
    <w:rsid w:val="006570CA"/>
    <w:rsid w:val="0066343B"/>
    <w:rsid w:val="00664777"/>
    <w:rsid w:val="00673D35"/>
    <w:rsid w:val="00674430"/>
    <w:rsid w:val="006748A4"/>
    <w:rsid w:val="00675488"/>
    <w:rsid w:val="00681A31"/>
    <w:rsid w:val="00682955"/>
    <w:rsid w:val="00683E73"/>
    <w:rsid w:val="006A3141"/>
    <w:rsid w:val="006A5E34"/>
    <w:rsid w:val="006B1B78"/>
    <w:rsid w:val="006B2422"/>
    <w:rsid w:val="006B2B9A"/>
    <w:rsid w:val="006C1937"/>
    <w:rsid w:val="006E03C4"/>
    <w:rsid w:val="006F020C"/>
    <w:rsid w:val="007127B7"/>
    <w:rsid w:val="0071798E"/>
    <w:rsid w:val="007416B6"/>
    <w:rsid w:val="0074530D"/>
    <w:rsid w:val="00745992"/>
    <w:rsid w:val="00746F48"/>
    <w:rsid w:val="007537EB"/>
    <w:rsid w:val="0075404D"/>
    <w:rsid w:val="0076182A"/>
    <w:rsid w:val="0076720B"/>
    <w:rsid w:val="00767B7E"/>
    <w:rsid w:val="007770C3"/>
    <w:rsid w:val="00783536"/>
    <w:rsid w:val="00784D24"/>
    <w:rsid w:val="00785FBA"/>
    <w:rsid w:val="00786E4A"/>
    <w:rsid w:val="007875EB"/>
    <w:rsid w:val="0079426B"/>
    <w:rsid w:val="00797E80"/>
    <w:rsid w:val="007B6226"/>
    <w:rsid w:val="007D1682"/>
    <w:rsid w:val="007D312A"/>
    <w:rsid w:val="007D3F19"/>
    <w:rsid w:val="007E20C4"/>
    <w:rsid w:val="007E23B0"/>
    <w:rsid w:val="007E23E5"/>
    <w:rsid w:val="007E585A"/>
    <w:rsid w:val="007F1991"/>
    <w:rsid w:val="007F2C2F"/>
    <w:rsid w:val="007F55FC"/>
    <w:rsid w:val="007F5665"/>
    <w:rsid w:val="00800112"/>
    <w:rsid w:val="00801180"/>
    <w:rsid w:val="00813348"/>
    <w:rsid w:val="00816159"/>
    <w:rsid w:val="008253BB"/>
    <w:rsid w:val="00825B4E"/>
    <w:rsid w:val="0083706E"/>
    <w:rsid w:val="00837ECB"/>
    <w:rsid w:val="008408F6"/>
    <w:rsid w:val="008423A5"/>
    <w:rsid w:val="008460DF"/>
    <w:rsid w:val="00850625"/>
    <w:rsid w:val="00853718"/>
    <w:rsid w:val="00855221"/>
    <w:rsid w:val="00860645"/>
    <w:rsid w:val="00871F71"/>
    <w:rsid w:val="00872FD8"/>
    <w:rsid w:val="008827B1"/>
    <w:rsid w:val="00885AF4"/>
    <w:rsid w:val="008939CD"/>
    <w:rsid w:val="008A14D5"/>
    <w:rsid w:val="008B768C"/>
    <w:rsid w:val="008B7BB5"/>
    <w:rsid w:val="008C4DB1"/>
    <w:rsid w:val="008C4EAF"/>
    <w:rsid w:val="008C5176"/>
    <w:rsid w:val="008C7FD0"/>
    <w:rsid w:val="008D38BD"/>
    <w:rsid w:val="008E1DE7"/>
    <w:rsid w:val="008E707C"/>
    <w:rsid w:val="00900B08"/>
    <w:rsid w:val="00902155"/>
    <w:rsid w:val="00902FA3"/>
    <w:rsid w:val="00923564"/>
    <w:rsid w:val="0092392E"/>
    <w:rsid w:val="009315F9"/>
    <w:rsid w:val="00933499"/>
    <w:rsid w:val="00935C98"/>
    <w:rsid w:val="00946945"/>
    <w:rsid w:val="00951248"/>
    <w:rsid w:val="0095152F"/>
    <w:rsid w:val="00951B46"/>
    <w:rsid w:val="00954C49"/>
    <w:rsid w:val="00955E37"/>
    <w:rsid w:val="0096053C"/>
    <w:rsid w:val="009641D5"/>
    <w:rsid w:val="00966476"/>
    <w:rsid w:val="0097099F"/>
    <w:rsid w:val="00971997"/>
    <w:rsid w:val="00971FFC"/>
    <w:rsid w:val="00980214"/>
    <w:rsid w:val="0098660A"/>
    <w:rsid w:val="0099245C"/>
    <w:rsid w:val="009931C3"/>
    <w:rsid w:val="009A4381"/>
    <w:rsid w:val="009A56F5"/>
    <w:rsid w:val="009B2C43"/>
    <w:rsid w:val="009B4EAE"/>
    <w:rsid w:val="009B7573"/>
    <w:rsid w:val="009C22F4"/>
    <w:rsid w:val="009C2A4B"/>
    <w:rsid w:val="009C2E98"/>
    <w:rsid w:val="009D3447"/>
    <w:rsid w:val="009D4711"/>
    <w:rsid w:val="009F1185"/>
    <w:rsid w:val="009F18CD"/>
    <w:rsid w:val="009F2A13"/>
    <w:rsid w:val="009F3038"/>
    <w:rsid w:val="009F7527"/>
    <w:rsid w:val="00A03131"/>
    <w:rsid w:val="00A04EB0"/>
    <w:rsid w:val="00A11B4A"/>
    <w:rsid w:val="00A13CC1"/>
    <w:rsid w:val="00A16847"/>
    <w:rsid w:val="00A237D8"/>
    <w:rsid w:val="00A268C4"/>
    <w:rsid w:val="00A307CD"/>
    <w:rsid w:val="00A30EBA"/>
    <w:rsid w:val="00A331C8"/>
    <w:rsid w:val="00A35860"/>
    <w:rsid w:val="00A40A00"/>
    <w:rsid w:val="00A4142F"/>
    <w:rsid w:val="00A422EB"/>
    <w:rsid w:val="00A45BB7"/>
    <w:rsid w:val="00A5037A"/>
    <w:rsid w:val="00A56ADE"/>
    <w:rsid w:val="00A56DF2"/>
    <w:rsid w:val="00A56E6E"/>
    <w:rsid w:val="00A6359B"/>
    <w:rsid w:val="00A67AB5"/>
    <w:rsid w:val="00A733B2"/>
    <w:rsid w:val="00A741C2"/>
    <w:rsid w:val="00A7798E"/>
    <w:rsid w:val="00A91760"/>
    <w:rsid w:val="00A93B00"/>
    <w:rsid w:val="00A93C21"/>
    <w:rsid w:val="00AA01BA"/>
    <w:rsid w:val="00AB2CA9"/>
    <w:rsid w:val="00AB64C9"/>
    <w:rsid w:val="00AC04E2"/>
    <w:rsid w:val="00AC3C6A"/>
    <w:rsid w:val="00AD5620"/>
    <w:rsid w:val="00AD656B"/>
    <w:rsid w:val="00AD7C1B"/>
    <w:rsid w:val="00AE093B"/>
    <w:rsid w:val="00AE16BA"/>
    <w:rsid w:val="00AE1EBE"/>
    <w:rsid w:val="00AE5054"/>
    <w:rsid w:val="00AF1FD3"/>
    <w:rsid w:val="00AF28D5"/>
    <w:rsid w:val="00AF5174"/>
    <w:rsid w:val="00B03C9D"/>
    <w:rsid w:val="00B04142"/>
    <w:rsid w:val="00B060AE"/>
    <w:rsid w:val="00B10517"/>
    <w:rsid w:val="00B14E76"/>
    <w:rsid w:val="00B15556"/>
    <w:rsid w:val="00B161B8"/>
    <w:rsid w:val="00B2048C"/>
    <w:rsid w:val="00B310B9"/>
    <w:rsid w:val="00B35F3F"/>
    <w:rsid w:val="00B36CBB"/>
    <w:rsid w:val="00B41530"/>
    <w:rsid w:val="00B425E0"/>
    <w:rsid w:val="00B440AA"/>
    <w:rsid w:val="00B44884"/>
    <w:rsid w:val="00B44B70"/>
    <w:rsid w:val="00B50A0E"/>
    <w:rsid w:val="00B53C56"/>
    <w:rsid w:val="00B57DAF"/>
    <w:rsid w:val="00B77EA6"/>
    <w:rsid w:val="00B81598"/>
    <w:rsid w:val="00B841F1"/>
    <w:rsid w:val="00B944D6"/>
    <w:rsid w:val="00BB4DF0"/>
    <w:rsid w:val="00BC289F"/>
    <w:rsid w:val="00BC2D50"/>
    <w:rsid w:val="00BC5361"/>
    <w:rsid w:val="00BC5460"/>
    <w:rsid w:val="00BC6B50"/>
    <w:rsid w:val="00BD0E25"/>
    <w:rsid w:val="00BD4A56"/>
    <w:rsid w:val="00BF1375"/>
    <w:rsid w:val="00BF1B11"/>
    <w:rsid w:val="00BF5BD6"/>
    <w:rsid w:val="00C037FD"/>
    <w:rsid w:val="00C03E31"/>
    <w:rsid w:val="00C30CDA"/>
    <w:rsid w:val="00C33E72"/>
    <w:rsid w:val="00C354B2"/>
    <w:rsid w:val="00C35554"/>
    <w:rsid w:val="00C42709"/>
    <w:rsid w:val="00C5094B"/>
    <w:rsid w:val="00C533CC"/>
    <w:rsid w:val="00C5751C"/>
    <w:rsid w:val="00C61BFC"/>
    <w:rsid w:val="00C62B85"/>
    <w:rsid w:val="00C65438"/>
    <w:rsid w:val="00C70212"/>
    <w:rsid w:val="00C7524A"/>
    <w:rsid w:val="00C8564C"/>
    <w:rsid w:val="00C87FD8"/>
    <w:rsid w:val="00C91381"/>
    <w:rsid w:val="00C91CBB"/>
    <w:rsid w:val="00C94C2A"/>
    <w:rsid w:val="00CA74B9"/>
    <w:rsid w:val="00CB2B75"/>
    <w:rsid w:val="00CB4E70"/>
    <w:rsid w:val="00CC09B6"/>
    <w:rsid w:val="00CC666F"/>
    <w:rsid w:val="00CD1E3F"/>
    <w:rsid w:val="00CD595A"/>
    <w:rsid w:val="00CE066C"/>
    <w:rsid w:val="00CE44F6"/>
    <w:rsid w:val="00CE49DA"/>
    <w:rsid w:val="00CE7B61"/>
    <w:rsid w:val="00D00095"/>
    <w:rsid w:val="00D114F0"/>
    <w:rsid w:val="00D20620"/>
    <w:rsid w:val="00D23D22"/>
    <w:rsid w:val="00D254F7"/>
    <w:rsid w:val="00D26091"/>
    <w:rsid w:val="00D2685C"/>
    <w:rsid w:val="00D271C3"/>
    <w:rsid w:val="00D31C2E"/>
    <w:rsid w:val="00D34E7C"/>
    <w:rsid w:val="00D35489"/>
    <w:rsid w:val="00D36AFE"/>
    <w:rsid w:val="00D51276"/>
    <w:rsid w:val="00D642FB"/>
    <w:rsid w:val="00D7035F"/>
    <w:rsid w:val="00D7266A"/>
    <w:rsid w:val="00DA4573"/>
    <w:rsid w:val="00DA634F"/>
    <w:rsid w:val="00DA65AC"/>
    <w:rsid w:val="00DB1913"/>
    <w:rsid w:val="00DC410D"/>
    <w:rsid w:val="00DC5A81"/>
    <w:rsid w:val="00DC68CA"/>
    <w:rsid w:val="00DC7CBA"/>
    <w:rsid w:val="00DD73B7"/>
    <w:rsid w:val="00DF1042"/>
    <w:rsid w:val="00DF28BC"/>
    <w:rsid w:val="00DF34B9"/>
    <w:rsid w:val="00E01053"/>
    <w:rsid w:val="00E049EE"/>
    <w:rsid w:val="00E07ACF"/>
    <w:rsid w:val="00E32F5F"/>
    <w:rsid w:val="00E331A1"/>
    <w:rsid w:val="00E33202"/>
    <w:rsid w:val="00E336A9"/>
    <w:rsid w:val="00E36579"/>
    <w:rsid w:val="00E46780"/>
    <w:rsid w:val="00E472B1"/>
    <w:rsid w:val="00E50624"/>
    <w:rsid w:val="00E5584C"/>
    <w:rsid w:val="00E568DF"/>
    <w:rsid w:val="00E64269"/>
    <w:rsid w:val="00E67CE5"/>
    <w:rsid w:val="00E75AA3"/>
    <w:rsid w:val="00E82267"/>
    <w:rsid w:val="00E853CE"/>
    <w:rsid w:val="00E867B6"/>
    <w:rsid w:val="00EA010F"/>
    <w:rsid w:val="00ED1B63"/>
    <w:rsid w:val="00ED1EF8"/>
    <w:rsid w:val="00ED3C1F"/>
    <w:rsid w:val="00ED4085"/>
    <w:rsid w:val="00ED420E"/>
    <w:rsid w:val="00ED6FBE"/>
    <w:rsid w:val="00EE2585"/>
    <w:rsid w:val="00EE2F57"/>
    <w:rsid w:val="00EF4C34"/>
    <w:rsid w:val="00EF77C6"/>
    <w:rsid w:val="00F05438"/>
    <w:rsid w:val="00F1361C"/>
    <w:rsid w:val="00F156F0"/>
    <w:rsid w:val="00F160C7"/>
    <w:rsid w:val="00F2368A"/>
    <w:rsid w:val="00F2408F"/>
    <w:rsid w:val="00F240E9"/>
    <w:rsid w:val="00F2421E"/>
    <w:rsid w:val="00F36D8F"/>
    <w:rsid w:val="00F417B1"/>
    <w:rsid w:val="00F45853"/>
    <w:rsid w:val="00F47CC8"/>
    <w:rsid w:val="00F5062A"/>
    <w:rsid w:val="00F52BEC"/>
    <w:rsid w:val="00F54807"/>
    <w:rsid w:val="00F602DF"/>
    <w:rsid w:val="00F70D5E"/>
    <w:rsid w:val="00F754A1"/>
    <w:rsid w:val="00F81FD9"/>
    <w:rsid w:val="00F82FB7"/>
    <w:rsid w:val="00F841AA"/>
    <w:rsid w:val="00F84A94"/>
    <w:rsid w:val="00F87E96"/>
    <w:rsid w:val="00F93953"/>
    <w:rsid w:val="00FA14A6"/>
    <w:rsid w:val="00FA23E8"/>
    <w:rsid w:val="00FB2296"/>
    <w:rsid w:val="00FC08CE"/>
    <w:rsid w:val="00FD3CC1"/>
    <w:rsid w:val="00FE1D21"/>
    <w:rsid w:val="00FF1357"/>
    <w:rsid w:val="00FF1E02"/>
    <w:rsid w:val="00FF30B4"/>
    <w:rsid w:val="00FF538C"/>
    <w:rsid w:val="053A62B5"/>
    <w:rsid w:val="0A2032A3"/>
    <w:rsid w:val="0B8A37D8"/>
    <w:rsid w:val="0BFB6DBF"/>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A447435"/>
    <w:rsid w:val="4BE068DB"/>
    <w:rsid w:val="4BF6002B"/>
    <w:rsid w:val="4ECE2238"/>
    <w:rsid w:val="51DB4B86"/>
    <w:rsid w:val="55333C3E"/>
    <w:rsid w:val="64CA39A1"/>
    <w:rsid w:val="69630ADE"/>
    <w:rsid w:val="6C4A05C8"/>
    <w:rsid w:val="6D3B1A89"/>
    <w:rsid w:val="716F6AA8"/>
    <w:rsid w:val="71BF4EC2"/>
    <w:rsid w:val="72734D90"/>
    <w:rsid w:val="7412278C"/>
    <w:rsid w:val="79E7B28D"/>
    <w:rsid w:val="7F9F20EE"/>
    <w:rsid w:val="9E3A10E2"/>
    <w:rsid w:val="F2E1F9D4"/>
    <w:rsid w:val="F7880819"/>
    <w:rsid w:val="FCBF65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Autospacing="1" w:afterAutospacing="1"/>
      <w:jc w:val="left"/>
    </w:pPr>
    <w:rPr>
      <w:rFonts w:ascii="宋体" w:hAnsi="Calibri"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正文文本 Char"/>
    <w:link w:val="2"/>
    <w:qFormat/>
    <w:locked/>
    <w:uiPriority w:val="99"/>
    <w:rPr>
      <w:rFonts w:ascii="仿宋_GB2312" w:hAnsi="Times New Roman" w:eastAsia="仿宋_GB2312"/>
      <w:sz w:val="24"/>
    </w:rPr>
  </w:style>
  <w:style w:type="character" w:customStyle="1" w:styleId="18">
    <w:name w:val="标题 1 Char"/>
    <w:basedOn w:val="14"/>
    <w:link w:val="3"/>
    <w:qFormat/>
    <w:uiPriority w:val="9"/>
    <w:rPr>
      <w:rFonts w:ascii="Times New Roman" w:hAnsi="Times New Roman"/>
      <w:b/>
      <w:bCs/>
      <w:kern w:val="44"/>
      <w:sz w:val="44"/>
      <w:szCs w:val="44"/>
    </w:rPr>
  </w:style>
  <w:style w:type="character" w:customStyle="1" w:styleId="19">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20">
    <w:name w:val="标题 3 Char"/>
    <w:basedOn w:val="14"/>
    <w:link w:val="5"/>
    <w:qFormat/>
    <w:uiPriority w:val="9"/>
    <w:rPr>
      <w:rFonts w:ascii="Times New Roman" w:hAnsi="Times New Roman"/>
      <w:b/>
      <w:bCs/>
      <w:kern w:val="2"/>
      <w:sz w:val="32"/>
      <w:szCs w:val="32"/>
    </w:rPr>
  </w:style>
  <w:style w:type="character" w:customStyle="1" w:styleId="21">
    <w:name w:val="批注框文本 Char"/>
    <w:basedOn w:val="14"/>
    <w:link w:val="7"/>
    <w:semiHidden/>
    <w:qFormat/>
    <w:uiPriority w:val="99"/>
    <w:rPr>
      <w:rFonts w:ascii="Times New Roman" w:hAnsi="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semiHidden/>
    <w:qFormat/>
    <w:locked/>
    <w:uiPriority w:val="99"/>
    <w:rPr>
      <w:sz w:val="18"/>
    </w:rPr>
  </w:style>
  <w:style w:type="character" w:customStyle="1" w:styleId="24">
    <w:name w:val="Header Char"/>
    <w:basedOn w:val="14"/>
    <w:semiHidden/>
    <w:qFormat/>
    <w:uiPriority w:val="99"/>
    <w:rPr>
      <w:rFonts w:ascii="Times New Roman" w:hAnsi="Times New Roman"/>
      <w:sz w:val="18"/>
      <w:szCs w:val="18"/>
    </w:rPr>
  </w:style>
  <w:style w:type="character" w:customStyle="1" w:styleId="25">
    <w:name w:val="Footer Char"/>
    <w:basedOn w:val="14"/>
    <w:semiHidden/>
    <w:qFormat/>
    <w:uiPriority w:val="99"/>
    <w:rPr>
      <w:rFonts w:ascii="Times New Roman" w:hAnsi="Times New Roman"/>
      <w:sz w:val="18"/>
      <w:szCs w:val="18"/>
    </w:rPr>
  </w:style>
  <w:style w:type="character" w:customStyle="1" w:styleId="26">
    <w:name w:val="Body Text Char"/>
    <w:basedOn w:val="14"/>
    <w:semiHidden/>
    <w:qFormat/>
    <w:uiPriority w:val="99"/>
    <w:rPr>
      <w:rFonts w:ascii="Times New Roman" w:hAnsi="Times New Roman"/>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正文1"/>
    <w:basedOn w:val="1"/>
    <w:qFormat/>
    <w:uiPriority w:val="0"/>
    <w:pPr>
      <w:widowControl/>
    </w:pPr>
    <w:rPr>
      <w:szCs w:val="21"/>
    </w:rPr>
  </w:style>
  <w:style w:type="paragraph" w:customStyle="1" w:styleId="32">
    <w:name w:val="TOC 标题3"/>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c:v>
                </c:pt>
              </c:strCache>
            </c:strRef>
          </c:tx>
          <c:invertIfNegative val="false"/>
          <c:dLbls>
            <c:delete val="true"/>
          </c:dLbls>
          <c:cat>
            <c:strRef>
              <c:f>Sheet1!$A$2:$A$5</c:f>
              <c:strCache>
                <c:ptCount val="2"/>
                <c:pt idx="0">
                  <c:v>2021年</c:v>
                </c:pt>
                <c:pt idx="1">
                  <c:v>2022年</c:v>
                </c:pt>
              </c:strCache>
            </c:strRef>
          </c:cat>
          <c:val>
            <c:numRef>
              <c:f>Sheet1!$B$2:$B$5</c:f>
              <c:numCache>
                <c:formatCode>General</c:formatCode>
                <c:ptCount val="4"/>
                <c:pt idx="0">
                  <c:v>327.82</c:v>
                </c:pt>
                <c:pt idx="1">
                  <c:v>350.75</c:v>
                </c:pt>
              </c:numCache>
            </c:numRef>
          </c:val>
        </c:ser>
        <c:ser>
          <c:idx val="1"/>
          <c:order val="1"/>
          <c:tx>
            <c:strRef>
              <c:f>Sheet1!$C$1</c:f>
              <c:strCache>
                <c:ptCount val="1"/>
                <c:pt idx="0">
                  <c:v>支出</c:v>
                </c:pt>
              </c:strCache>
            </c:strRef>
          </c:tx>
          <c:invertIfNegative val="false"/>
          <c:dLbls>
            <c:delete val="true"/>
          </c:dLbls>
          <c:cat>
            <c:strRef>
              <c:f>Sheet1!$A$2:$A$5</c:f>
              <c:strCache>
                <c:ptCount val="2"/>
                <c:pt idx="0">
                  <c:v>2021年</c:v>
                </c:pt>
                <c:pt idx="1">
                  <c:v>2022年</c:v>
                </c:pt>
              </c:strCache>
            </c:strRef>
          </c:cat>
          <c:val>
            <c:numRef>
              <c:f>Sheet1!$C$2:$C$5</c:f>
              <c:numCache>
                <c:formatCode>General</c:formatCode>
                <c:ptCount val="4"/>
                <c:pt idx="0">
                  <c:v>327.82</c:v>
                </c:pt>
                <c:pt idx="1">
                  <c:v>366.69</c:v>
                </c:pt>
              </c:numCache>
            </c:numRef>
          </c:val>
        </c:ser>
        <c:dLbls>
          <c:showLegendKey val="false"/>
          <c:showVal val="false"/>
          <c:showCatName val="false"/>
          <c:showSerName val="false"/>
          <c:showPercent val="false"/>
          <c:showBubbleSize val="false"/>
        </c:dLbls>
        <c:gapWidth val="150"/>
        <c:axId val="181776384"/>
        <c:axId val="181777920"/>
      </c:barChart>
      <c:catAx>
        <c:axId val="1817763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1777920"/>
        <c:crosses val="autoZero"/>
        <c:auto val="true"/>
        <c:lblAlgn val="ctr"/>
        <c:lblOffset val="100"/>
        <c:noMultiLvlLbl val="false"/>
      </c:catAx>
      <c:valAx>
        <c:axId val="1817779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1776384"/>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本年收入合计</c:v>
                </c:pt>
              </c:strCache>
            </c:strRef>
          </c:tx>
          <c:explosion val="0"/>
          <c:dPt>
            <c:idx val="0"/>
            <c:bubble3D val="false"/>
          </c:dPt>
          <c:dPt>
            <c:idx val="1"/>
            <c:bubble3D val="false"/>
          </c:dPt>
          <c:dLbls>
            <c:delete val="true"/>
          </c:dLbls>
          <c:cat>
            <c:strRef>
              <c:f>Sheet1!$A$2:$A$3</c:f>
              <c:strCache>
                <c:ptCount val="2"/>
                <c:pt idx="0">
                  <c:v>一般公共预算财政拨款收入</c:v>
                </c:pt>
                <c:pt idx="1">
                  <c:v>其他收入</c:v>
                </c:pt>
              </c:strCache>
            </c:strRef>
          </c:cat>
          <c:val>
            <c:numRef>
              <c:f>Sheet1!$B$2:$B$3</c:f>
              <c:numCache>
                <c:formatCode>General</c:formatCode>
                <c:ptCount val="2"/>
                <c:pt idx="0">
                  <c:v>350.75</c:v>
                </c:pt>
                <c:pt idx="1">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本年支出合计</c:v>
                </c:pt>
              </c:strCache>
            </c:strRef>
          </c:tx>
          <c:explosion val="0"/>
          <c:dPt>
            <c:idx val="0"/>
            <c:bubble3D val="false"/>
          </c:dPt>
          <c:dPt>
            <c:idx val="1"/>
            <c:bubble3D val="false"/>
          </c:dPt>
          <c:dLbls>
            <c:delete val="true"/>
          </c:dLbls>
          <c:cat>
            <c:strRef>
              <c:f>Sheet1!$A$2:$A$3</c:f>
              <c:strCache>
                <c:ptCount val="2"/>
                <c:pt idx="0">
                  <c:v>基本支出</c:v>
                </c:pt>
                <c:pt idx="1">
                  <c:v>项目支出</c:v>
                </c:pt>
              </c:strCache>
            </c:strRef>
          </c:cat>
          <c:val>
            <c:numRef>
              <c:f>Sheet1!$B$2:$B$3</c:f>
              <c:numCache>
                <c:formatCode>General</c:formatCode>
                <c:ptCount val="2"/>
                <c:pt idx="0">
                  <c:v>353.77</c:v>
                </c:pt>
                <c:pt idx="1">
                  <c:v>12.92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财政拨款收入</c:v>
                </c:pt>
              </c:strCache>
            </c:strRef>
          </c:tx>
          <c:invertIfNegative val="false"/>
          <c:dLbls>
            <c:delete val="true"/>
          </c:dLbls>
          <c:cat>
            <c:strRef>
              <c:f>Sheet1!$A$2:$A$3</c:f>
              <c:strCache>
                <c:ptCount val="2"/>
                <c:pt idx="0">
                  <c:v>2021年</c:v>
                </c:pt>
                <c:pt idx="1">
                  <c:v>2022年</c:v>
                </c:pt>
              </c:strCache>
            </c:strRef>
          </c:cat>
          <c:val>
            <c:numRef>
              <c:f>Sheet1!$B$2:$B$3</c:f>
              <c:numCache>
                <c:formatCode>General</c:formatCode>
                <c:ptCount val="2"/>
                <c:pt idx="0">
                  <c:v>327.82</c:v>
                </c:pt>
                <c:pt idx="1">
                  <c:v>353.77</c:v>
                </c:pt>
              </c:numCache>
            </c:numRef>
          </c:val>
        </c:ser>
        <c:ser>
          <c:idx val="1"/>
          <c:order val="1"/>
          <c:tx>
            <c:strRef>
              <c:f>Sheet1!$C$1</c:f>
              <c:strCache>
                <c:ptCount val="1"/>
                <c:pt idx="0">
                  <c:v>财政拨款支出</c:v>
                </c:pt>
              </c:strCache>
            </c:strRef>
          </c:tx>
          <c:invertIfNegative val="false"/>
          <c:dLbls>
            <c:delete val="true"/>
          </c:dLbls>
          <c:cat>
            <c:strRef>
              <c:f>Sheet1!$A$2:$A$3</c:f>
              <c:strCache>
                <c:ptCount val="2"/>
                <c:pt idx="0">
                  <c:v>2021年</c:v>
                </c:pt>
                <c:pt idx="1">
                  <c:v>2022年</c:v>
                </c:pt>
              </c:strCache>
            </c:strRef>
          </c:cat>
          <c:val>
            <c:numRef>
              <c:f>Sheet1!$C$2:$C$3</c:f>
              <c:numCache>
                <c:formatCode>General</c:formatCode>
                <c:ptCount val="2"/>
                <c:pt idx="0">
                  <c:v>327.82</c:v>
                </c:pt>
                <c:pt idx="1">
                  <c:v>366.69</c:v>
                </c:pt>
              </c:numCache>
            </c:numRef>
          </c:val>
        </c:ser>
        <c:dLbls>
          <c:showLegendKey val="false"/>
          <c:showVal val="false"/>
          <c:showCatName val="false"/>
          <c:showSerName val="false"/>
          <c:showPercent val="false"/>
          <c:showBubbleSize val="false"/>
        </c:dLbls>
        <c:gapWidth val="150"/>
        <c:axId val="199419392"/>
        <c:axId val="199420928"/>
      </c:barChart>
      <c:catAx>
        <c:axId val="199419392"/>
        <c:scaling>
          <c:orientation val="minMax"/>
        </c:scaling>
        <c:delete val="false"/>
        <c:axPos val="b"/>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9420928"/>
        <c:crosses val="autoZero"/>
        <c:auto val="true"/>
        <c:lblAlgn val="ctr"/>
        <c:lblOffset val="100"/>
        <c:noMultiLvlLbl val="false"/>
      </c:catAx>
      <c:valAx>
        <c:axId val="1994209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941939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stacked"/>
        <c:varyColors val="false"/>
        <c:ser>
          <c:idx val="0"/>
          <c:order val="0"/>
          <c:tx>
            <c:strRef>
              <c:f>Sheet1!$B$1</c:f>
              <c:strCache>
                <c:ptCount val="1"/>
                <c:pt idx="0">
                  <c:v>一般公共预算财政拨款支出</c:v>
                </c:pt>
              </c:strCache>
            </c:strRef>
          </c:tx>
          <c:invertIfNegative val="false"/>
          <c:dLbls>
            <c:delete val="true"/>
          </c:dLbls>
          <c:cat>
            <c:strRef>
              <c:f>Sheet1!$A$2:$A$3</c:f>
              <c:strCache>
                <c:ptCount val="2"/>
                <c:pt idx="0">
                  <c:v>2021年</c:v>
                </c:pt>
                <c:pt idx="1">
                  <c:v>2022年</c:v>
                </c:pt>
              </c:strCache>
            </c:strRef>
          </c:cat>
          <c:val>
            <c:numRef>
              <c:f>Sheet1!$B$2:$B$3</c:f>
              <c:numCache>
                <c:formatCode>General</c:formatCode>
                <c:ptCount val="2"/>
                <c:pt idx="0">
                  <c:v>327.82</c:v>
                </c:pt>
                <c:pt idx="1">
                  <c:v>366.69</c:v>
                </c:pt>
              </c:numCache>
            </c:numRef>
          </c:val>
        </c:ser>
        <c:dLbls>
          <c:showLegendKey val="false"/>
          <c:showVal val="false"/>
          <c:showCatName val="false"/>
          <c:showSerName val="false"/>
          <c:showPercent val="false"/>
          <c:showBubbleSize val="false"/>
        </c:dLbls>
        <c:gapWidth val="150"/>
        <c:overlap val="100"/>
        <c:axId val="199194880"/>
        <c:axId val="199225344"/>
      </c:barChart>
      <c:catAx>
        <c:axId val="19919488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9225344"/>
        <c:crosses val="autoZero"/>
        <c:auto val="true"/>
        <c:lblAlgn val="ctr"/>
        <c:lblOffset val="100"/>
        <c:noMultiLvlLbl val="false"/>
      </c:catAx>
      <c:valAx>
        <c:axId val="19922534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99194880"/>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2022年</c:v>
                </c:pt>
              </c:strCache>
            </c:strRef>
          </c:tx>
          <c:explosion val="0"/>
          <c:dPt>
            <c:idx val="0"/>
            <c:bubble3D val="false"/>
          </c:dPt>
          <c:dPt>
            <c:idx val="1"/>
            <c:bubble3D val="false"/>
          </c:dPt>
          <c:dLbls>
            <c:delete val="true"/>
          </c:dLbls>
          <c:cat>
            <c:strRef>
              <c:f>Sheet1!$A$2:$A$3</c:f>
              <c:strCache>
                <c:ptCount val="2"/>
                <c:pt idx="0">
                  <c:v>社会保障和就业支出</c:v>
                </c:pt>
                <c:pt idx="1">
                  <c:v>住房保障支出</c:v>
                </c:pt>
              </c:strCache>
            </c:strRef>
          </c:cat>
          <c:val>
            <c:numRef>
              <c:f>Sheet1!$B$2:$B$3</c:f>
              <c:numCache>
                <c:formatCode>General</c:formatCode>
                <c:ptCount val="2"/>
                <c:pt idx="0">
                  <c:v>343.31</c:v>
                </c:pt>
                <c:pt idx="1">
                  <c:v>23.38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325925925925926"/>
          <c:y val="0.292255892255892"/>
          <c:w val="0.557037037037037"/>
          <c:h val="0.613468013468017"/>
        </c:manualLayout>
      </c:layout>
      <c:pieChart>
        <c:varyColors val="true"/>
        <c:ser>
          <c:idx val="0"/>
          <c:order val="0"/>
          <c:tx>
            <c:strRef>
              <c:f>Sheet1!$B$1</c:f>
              <c:strCache>
                <c:ptCount val="1"/>
                <c:pt idx="0">
                  <c:v>2022年</c:v>
                </c:pt>
              </c:strCache>
            </c:strRef>
          </c:tx>
          <c:explosion val="0"/>
          <c:dPt>
            <c:idx val="0"/>
            <c:bubble3D val="false"/>
          </c:dPt>
          <c:dPt>
            <c:idx val="1"/>
            <c:bubble3D val="false"/>
          </c:dPt>
          <c:dPt>
            <c:idx val="2"/>
            <c:bubble3D val="false"/>
          </c:dPt>
          <c:dLbls>
            <c:delete val="true"/>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0.13</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15</Pages>
  <Words>986</Words>
  <Characters>5626</Characters>
  <Lines>46</Lines>
  <Paragraphs>13</Paragraphs>
  <TotalTime>6115629</TotalTime>
  <ScaleCrop>false</ScaleCrop>
  <LinksUpToDate>false</LinksUpToDate>
  <CharactersWithSpaces>6599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2024-07-11T15:12:01Z</dcterms:modified>
  <dc:title>四川省***</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3A03971150E14F1FB02CBEFDC4E5AA4A_12</vt:lpwstr>
  </property>
</Properties>
</file>