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600" w:lineRule="exact"/>
        <w:ind w:left="0" w:right="0" w:firstLine="0"/>
        <w:jc w:val="center"/>
        <w:outlineLvl w:val="9"/>
        <w:rPr>
          <w:rFonts w:hint="eastAsia" w:ascii="方正小标宋简体" w:hAnsi="方正小标宋简体" w:eastAsia="方正小标宋简体" w:cs="方正小标宋简体"/>
          <w:caps w:val="0"/>
          <w:color w:val="auto"/>
          <w:sz w:val="44"/>
          <w:szCs w:val="44"/>
          <w:vertAlign w:val="baseline"/>
        </w:rPr>
      </w:pPr>
      <w:bookmarkStart w:id="43" w:name="_GoBack"/>
      <w:bookmarkEnd w:id="43"/>
      <w:r>
        <w:rPr>
          <w:rFonts w:hint="default" w:ascii="方正小标宋简体" w:hAnsi="方正小标宋简体" w:eastAsia="方正小标宋简体" w:cs="方正小标宋简体"/>
          <w:b w:val="0"/>
          <w:bCs w:val="0"/>
          <w:caps w:val="0"/>
          <w:color w:val="auto"/>
          <w:kern w:val="2"/>
          <w:sz w:val="44"/>
          <w:szCs w:val="44"/>
          <w:vertAlign w:val="baseline"/>
          <w:lang w:val="en-US" w:eastAsia="zh-CN" w:bidi="ar"/>
        </w:rPr>
        <w:t>攀枝花市退役军人事务局</w:t>
      </w:r>
    </w:p>
    <w:p>
      <w:pPr>
        <w:pStyle w:val="2"/>
        <w:keepNext w:val="0"/>
        <w:keepLines w:val="0"/>
        <w:pageBreakBefore w:val="0"/>
        <w:widowControl w:val="0"/>
        <w:suppressLineNumbers w:val="0"/>
        <w:suppressAutoHyphens w:val="0"/>
        <w:kinsoku/>
        <w:wordWrap/>
        <w:overflowPunct/>
        <w:topLinePunct w:val="0"/>
        <w:autoSpaceDE/>
        <w:autoSpaceDN w:val="0"/>
        <w:bidi w:val="0"/>
        <w:adjustRightInd w:val="0"/>
        <w:snapToGrid/>
        <w:spacing w:before="93" w:beforeAutospacing="0" w:after="0" w:afterAutospacing="0" w:line="600" w:lineRule="exact"/>
        <w:ind w:left="0" w:right="0" w:firstLine="0"/>
        <w:jc w:val="center"/>
        <w:outlineLvl w:val="9"/>
        <w:rPr>
          <w:rFonts w:hint="eastAsia" w:ascii="宋体" w:hAnsi="宋体" w:eastAsia="宋体" w:cs="宋体"/>
          <w:b/>
          <w:caps w:val="0"/>
          <w:color w:val="auto"/>
          <w:sz w:val="32"/>
          <w:szCs w:val="32"/>
          <w:vertAlign w:val="baseline"/>
        </w:rPr>
      </w:pPr>
      <w:r>
        <w:rPr>
          <w:rFonts w:hint="eastAsia" w:ascii="方正小标宋简体" w:hAnsi="方正小标宋简体" w:eastAsia="方正小标宋简体" w:cs="方正小标宋简体"/>
          <w:caps w:val="0"/>
          <w:color w:val="auto"/>
          <w:sz w:val="44"/>
          <w:szCs w:val="44"/>
          <w:vertAlign w:val="baseline"/>
        </w:rPr>
        <w:t>2021年部门预算编制说明</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600" w:lineRule="exact"/>
        <w:ind w:left="0" w:right="0" w:firstLine="0"/>
        <w:jc w:val="both"/>
        <w:outlineLvl w:val="9"/>
        <w:rPr>
          <w:rFonts w:hint="eastAsia" w:ascii="黑体" w:hAnsi="宋体" w:eastAsia="黑体" w:cs="黑体"/>
          <w:caps w:val="0"/>
          <w:color w:val="auto"/>
          <w:sz w:val="32"/>
          <w:szCs w:val="32"/>
          <w:vertAlign w:val="baseline"/>
        </w:rPr>
      </w:pPr>
      <w:r>
        <w:rPr>
          <w:rFonts w:hint="default" w:ascii="黑体" w:hAnsi="宋体" w:eastAsia="黑体" w:cs="黑体"/>
          <w:b w:val="0"/>
          <w:bCs w:val="0"/>
          <w:caps w:val="0"/>
          <w:color w:val="auto"/>
          <w:kern w:val="2"/>
          <w:sz w:val="32"/>
          <w:szCs w:val="32"/>
          <w:vertAlign w:val="baseline"/>
          <w:lang w:val="en-US" w:eastAsia="zh-CN" w:bidi="ar"/>
        </w:rPr>
        <w:t xml:space="preserve"> </w:t>
      </w:r>
    </w:p>
    <w:p>
      <w:pPr>
        <w:spacing w:before="0" w:beforeLines="0" w:after="0" w:afterLines="0" w:line="240" w:lineRule="auto"/>
        <w:ind w:left="0" w:leftChars="0" w:right="0" w:rightChars="0" w:firstLine="0" w:firstLineChars="0"/>
        <w:jc w:val="center"/>
        <w:rPr>
          <w:sz w:val="32"/>
          <w:szCs w:val="32"/>
        </w:rPr>
      </w:pPr>
      <w:bookmarkStart w:id="0" w:name="_Toc831085773_WPSOffice_Type3"/>
      <w:r>
        <w:rPr>
          <w:rFonts w:ascii="宋体" w:hAnsi="宋体" w:eastAsia="宋体"/>
          <w:sz w:val="32"/>
          <w:szCs w:val="32"/>
        </w:rPr>
        <w:t>目录</w:t>
      </w:r>
    </w:p>
    <w:p>
      <w:pPr>
        <w:pStyle w:val="7"/>
        <w:tabs>
          <w:tab w:val="right" w:leader="dot" w:pos="8306"/>
        </w:tabs>
        <w:rPr>
          <w:sz w:val="32"/>
          <w:szCs w:val="32"/>
        </w:rPr>
      </w:pPr>
      <w:r>
        <w:rPr>
          <w:sz w:val="32"/>
          <w:szCs w:val="32"/>
        </w:rPr>
        <w:fldChar w:fldCharType="begin"/>
      </w:r>
      <w:r>
        <w:rPr>
          <w:sz w:val="32"/>
          <w:szCs w:val="32"/>
        </w:rPr>
        <w:instrText xml:space="preserve"> HYPERLINK \l _Toc1896412667_WPSOffice_Level1 </w:instrText>
      </w:r>
      <w:r>
        <w:rPr>
          <w:sz w:val="32"/>
          <w:szCs w:val="32"/>
        </w:rPr>
        <w:fldChar w:fldCharType="separate"/>
      </w:r>
      <w:r>
        <w:rPr>
          <w:rFonts w:hint="eastAsia" w:ascii="黑体" w:hAnsi="宋体" w:eastAsia="黑体" w:cs="黑体"/>
          <w:sz w:val="32"/>
          <w:szCs w:val="32"/>
        </w:rPr>
        <w:t>一、基本职能及主要工作</w:t>
      </w:r>
      <w:r>
        <w:rPr>
          <w:sz w:val="32"/>
          <w:szCs w:val="32"/>
        </w:rPr>
        <w:tab/>
      </w:r>
      <w:bookmarkStart w:id="1" w:name="_Toc1896412667_WPSOffice_Level1Page"/>
      <w:r>
        <w:rPr>
          <w:sz w:val="32"/>
          <w:szCs w:val="32"/>
        </w:rPr>
        <w:t>2</w:t>
      </w:r>
      <w:bookmarkEnd w:id="1"/>
      <w:r>
        <w:rPr>
          <w:sz w:val="32"/>
          <w:szCs w:val="32"/>
        </w:rPr>
        <w:fldChar w:fldCharType="end"/>
      </w:r>
    </w:p>
    <w:p>
      <w:pPr>
        <w:pStyle w:val="6"/>
        <w:tabs>
          <w:tab w:val="right" w:leader="dot" w:pos="8306"/>
        </w:tabs>
        <w:rPr>
          <w:sz w:val="32"/>
          <w:szCs w:val="32"/>
        </w:rPr>
      </w:pPr>
      <w:r>
        <w:rPr>
          <w:sz w:val="32"/>
          <w:szCs w:val="32"/>
        </w:rPr>
        <w:fldChar w:fldCharType="begin"/>
      </w:r>
      <w:r>
        <w:rPr>
          <w:sz w:val="32"/>
          <w:szCs w:val="32"/>
        </w:rPr>
        <w:instrText xml:space="preserve"> HYPERLINK \l _Toc586280316_WPSOffice_Level2 </w:instrText>
      </w:r>
      <w:r>
        <w:rPr>
          <w:sz w:val="32"/>
          <w:szCs w:val="32"/>
        </w:rPr>
        <w:fldChar w:fldCharType="separate"/>
      </w:r>
      <w:r>
        <w:rPr>
          <w:rFonts w:hint="default" w:ascii="楷体_GB2312" w:hAnsi="宋体" w:eastAsia="楷体_GB2312" w:cs="楷体_GB2312"/>
          <w:sz w:val="32"/>
          <w:szCs w:val="32"/>
        </w:rPr>
        <w:t>（一）市退役军人局职能简介。</w:t>
      </w:r>
      <w:r>
        <w:rPr>
          <w:sz w:val="32"/>
          <w:szCs w:val="32"/>
        </w:rPr>
        <w:tab/>
      </w:r>
      <w:bookmarkStart w:id="2" w:name="_Toc586280316_WPSOffice_Level2Page"/>
      <w:r>
        <w:rPr>
          <w:sz w:val="32"/>
          <w:szCs w:val="32"/>
        </w:rPr>
        <w:t>2</w:t>
      </w:r>
      <w:bookmarkEnd w:id="2"/>
      <w:r>
        <w:rPr>
          <w:sz w:val="32"/>
          <w:szCs w:val="32"/>
        </w:rPr>
        <w:fldChar w:fldCharType="end"/>
      </w:r>
    </w:p>
    <w:p>
      <w:pPr>
        <w:pStyle w:val="6"/>
        <w:tabs>
          <w:tab w:val="right" w:leader="dot" w:pos="8306"/>
        </w:tabs>
        <w:ind w:left="0" w:leftChars="0" w:firstLine="0" w:firstLineChars="0"/>
        <w:rPr>
          <w:sz w:val="32"/>
          <w:szCs w:val="32"/>
        </w:rPr>
      </w:pPr>
      <w:r>
        <w:rPr>
          <w:rFonts w:hint="eastAsia"/>
          <w:sz w:val="32"/>
          <w:szCs w:val="32"/>
          <w:lang w:eastAsia="zh-CN"/>
        </w:rPr>
        <w:t>　　</w:t>
      </w:r>
      <w:r>
        <w:rPr>
          <w:sz w:val="32"/>
          <w:szCs w:val="32"/>
        </w:rPr>
        <w:fldChar w:fldCharType="begin"/>
      </w:r>
      <w:r>
        <w:rPr>
          <w:sz w:val="32"/>
          <w:szCs w:val="32"/>
        </w:rPr>
        <w:instrText xml:space="preserve"> HYPERLINK \l _Toc1901327773_WPSOffice_Level2 </w:instrText>
      </w:r>
      <w:r>
        <w:rPr>
          <w:sz w:val="32"/>
          <w:szCs w:val="32"/>
        </w:rPr>
        <w:fldChar w:fldCharType="separate"/>
      </w:r>
      <w:r>
        <w:rPr>
          <w:rFonts w:hint="default" w:ascii="楷体_GB2312" w:hAnsi="宋体" w:eastAsia="楷体_GB2312" w:cs="楷体_GB2312"/>
          <w:sz w:val="32"/>
          <w:szCs w:val="32"/>
        </w:rPr>
        <w:t>(二） 市退役军人局2021年重点工作。</w:t>
      </w:r>
      <w:r>
        <w:rPr>
          <w:sz w:val="32"/>
          <w:szCs w:val="32"/>
        </w:rPr>
        <w:tab/>
      </w:r>
      <w:bookmarkStart w:id="3" w:name="_Toc1901327773_WPSOffice_Level2Page"/>
      <w:r>
        <w:rPr>
          <w:sz w:val="32"/>
          <w:szCs w:val="32"/>
        </w:rPr>
        <w:t>2</w:t>
      </w:r>
      <w:bookmarkEnd w:id="3"/>
      <w:r>
        <w:rPr>
          <w:sz w:val="32"/>
          <w:szCs w:val="32"/>
        </w:rPr>
        <w:fldChar w:fldCharType="end"/>
      </w:r>
    </w:p>
    <w:p>
      <w:pPr>
        <w:pStyle w:val="7"/>
        <w:tabs>
          <w:tab w:val="right" w:leader="dot" w:pos="8306"/>
        </w:tabs>
        <w:rPr>
          <w:sz w:val="32"/>
          <w:szCs w:val="32"/>
        </w:rPr>
      </w:pPr>
      <w:r>
        <w:rPr>
          <w:sz w:val="32"/>
          <w:szCs w:val="32"/>
        </w:rPr>
        <w:fldChar w:fldCharType="begin"/>
      </w:r>
      <w:r>
        <w:rPr>
          <w:sz w:val="32"/>
          <w:szCs w:val="32"/>
        </w:rPr>
        <w:instrText xml:space="preserve"> HYPERLINK \l _Toc255643043_WPSOffice_Level1 </w:instrText>
      </w:r>
      <w:r>
        <w:rPr>
          <w:sz w:val="32"/>
          <w:szCs w:val="32"/>
        </w:rPr>
        <w:fldChar w:fldCharType="separate"/>
      </w:r>
      <w:r>
        <w:rPr>
          <w:rFonts w:hint="eastAsia" w:ascii="黑体" w:hAnsi="宋体" w:eastAsia="黑体" w:cs="黑体"/>
          <w:sz w:val="32"/>
          <w:szCs w:val="32"/>
        </w:rPr>
        <w:t>二、单位构成情况</w:t>
      </w:r>
      <w:r>
        <w:rPr>
          <w:sz w:val="32"/>
          <w:szCs w:val="32"/>
        </w:rPr>
        <w:tab/>
      </w:r>
      <w:bookmarkStart w:id="4" w:name="_Toc255643043_WPSOffice_Level1Page"/>
      <w:r>
        <w:rPr>
          <w:sz w:val="32"/>
          <w:szCs w:val="32"/>
        </w:rPr>
        <w:t>5</w:t>
      </w:r>
      <w:bookmarkEnd w:id="4"/>
      <w:r>
        <w:rPr>
          <w:sz w:val="32"/>
          <w:szCs w:val="32"/>
        </w:rPr>
        <w:fldChar w:fldCharType="end"/>
      </w:r>
    </w:p>
    <w:p>
      <w:pPr>
        <w:pStyle w:val="7"/>
        <w:tabs>
          <w:tab w:val="right" w:leader="dot" w:pos="8306"/>
        </w:tabs>
        <w:rPr>
          <w:sz w:val="32"/>
          <w:szCs w:val="32"/>
        </w:rPr>
      </w:pPr>
      <w:r>
        <w:rPr>
          <w:sz w:val="32"/>
          <w:szCs w:val="32"/>
        </w:rPr>
        <w:fldChar w:fldCharType="begin"/>
      </w:r>
      <w:r>
        <w:rPr>
          <w:sz w:val="32"/>
          <w:szCs w:val="32"/>
        </w:rPr>
        <w:instrText xml:space="preserve"> HYPERLINK \l _Toc1567088443_WPSOffice_Level1 </w:instrText>
      </w:r>
      <w:r>
        <w:rPr>
          <w:sz w:val="32"/>
          <w:szCs w:val="32"/>
        </w:rPr>
        <w:fldChar w:fldCharType="separate"/>
      </w:r>
      <w:r>
        <w:rPr>
          <w:rFonts w:hint="eastAsia" w:ascii="黑体" w:hAnsi="宋体" w:eastAsia="黑体" w:cs="黑体"/>
          <w:sz w:val="32"/>
          <w:szCs w:val="32"/>
        </w:rPr>
        <w:t>三、收支预算情况说明</w:t>
      </w:r>
      <w:r>
        <w:rPr>
          <w:sz w:val="32"/>
          <w:szCs w:val="32"/>
        </w:rPr>
        <w:tab/>
      </w:r>
      <w:bookmarkStart w:id="5" w:name="_Toc1567088443_WPSOffice_Level1Page"/>
      <w:r>
        <w:rPr>
          <w:sz w:val="32"/>
          <w:szCs w:val="32"/>
        </w:rPr>
        <w:t>5</w:t>
      </w:r>
      <w:bookmarkEnd w:id="5"/>
      <w:r>
        <w:rPr>
          <w:sz w:val="32"/>
          <w:szCs w:val="32"/>
        </w:rPr>
        <w:fldChar w:fldCharType="end"/>
      </w:r>
    </w:p>
    <w:p>
      <w:pPr>
        <w:pStyle w:val="6"/>
        <w:tabs>
          <w:tab w:val="right" w:leader="dot" w:pos="8306"/>
        </w:tabs>
        <w:rPr>
          <w:sz w:val="32"/>
          <w:szCs w:val="32"/>
        </w:rPr>
      </w:pPr>
      <w:r>
        <w:rPr>
          <w:sz w:val="32"/>
          <w:szCs w:val="32"/>
        </w:rPr>
        <w:fldChar w:fldCharType="begin"/>
      </w:r>
      <w:r>
        <w:rPr>
          <w:sz w:val="32"/>
          <w:szCs w:val="32"/>
        </w:rPr>
        <w:instrText xml:space="preserve"> HYPERLINK \l _Toc1019755705_WPSOffice_Level2 </w:instrText>
      </w:r>
      <w:r>
        <w:rPr>
          <w:sz w:val="32"/>
          <w:szCs w:val="32"/>
        </w:rPr>
        <w:fldChar w:fldCharType="separate"/>
      </w:r>
      <w:r>
        <w:rPr>
          <w:rFonts w:hint="default" w:ascii="楷体_GB2312" w:hAnsi="Calibri" w:eastAsia="楷体_GB2312" w:cs="楷体_GB2312"/>
          <w:sz w:val="32"/>
          <w:szCs w:val="32"/>
        </w:rPr>
        <w:t>（一）收入预算情况</w:t>
      </w:r>
      <w:r>
        <w:rPr>
          <w:sz w:val="32"/>
          <w:szCs w:val="32"/>
        </w:rPr>
        <w:tab/>
      </w:r>
      <w:bookmarkStart w:id="6" w:name="_Toc1019755705_WPSOffice_Level2Page"/>
      <w:r>
        <w:rPr>
          <w:sz w:val="32"/>
          <w:szCs w:val="32"/>
        </w:rPr>
        <w:t>5</w:t>
      </w:r>
      <w:bookmarkEnd w:id="6"/>
      <w:r>
        <w:rPr>
          <w:sz w:val="32"/>
          <w:szCs w:val="32"/>
        </w:rPr>
        <w:fldChar w:fldCharType="end"/>
      </w:r>
    </w:p>
    <w:p>
      <w:pPr>
        <w:pStyle w:val="6"/>
        <w:tabs>
          <w:tab w:val="right" w:leader="dot" w:pos="8306"/>
        </w:tabs>
        <w:rPr>
          <w:sz w:val="32"/>
          <w:szCs w:val="32"/>
        </w:rPr>
      </w:pPr>
      <w:r>
        <w:rPr>
          <w:sz w:val="32"/>
          <w:szCs w:val="32"/>
        </w:rPr>
        <w:fldChar w:fldCharType="begin"/>
      </w:r>
      <w:r>
        <w:rPr>
          <w:sz w:val="32"/>
          <w:szCs w:val="32"/>
        </w:rPr>
        <w:instrText xml:space="preserve"> HYPERLINK \l _Toc1107577185_WPSOffice_Level2 </w:instrText>
      </w:r>
      <w:r>
        <w:rPr>
          <w:sz w:val="32"/>
          <w:szCs w:val="32"/>
        </w:rPr>
        <w:fldChar w:fldCharType="separate"/>
      </w:r>
      <w:r>
        <w:rPr>
          <w:rFonts w:hint="default" w:ascii="楷体_GB2312" w:hAnsi="Calibri" w:eastAsia="楷体_GB2312" w:cs="楷体_GB2312"/>
          <w:sz w:val="32"/>
          <w:szCs w:val="32"/>
        </w:rPr>
        <w:t>（二）支出预算情况</w:t>
      </w:r>
      <w:r>
        <w:rPr>
          <w:sz w:val="32"/>
          <w:szCs w:val="32"/>
        </w:rPr>
        <w:tab/>
      </w:r>
      <w:bookmarkStart w:id="7" w:name="_Toc1107577185_WPSOffice_Level2Page"/>
      <w:r>
        <w:rPr>
          <w:sz w:val="32"/>
          <w:szCs w:val="32"/>
        </w:rPr>
        <w:t>5</w:t>
      </w:r>
      <w:bookmarkEnd w:id="7"/>
      <w:r>
        <w:rPr>
          <w:sz w:val="32"/>
          <w:szCs w:val="32"/>
        </w:rPr>
        <w:fldChar w:fldCharType="end"/>
      </w:r>
    </w:p>
    <w:p>
      <w:pPr>
        <w:pStyle w:val="7"/>
        <w:tabs>
          <w:tab w:val="right" w:leader="dot" w:pos="8306"/>
        </w:tabs>
        <w:rPr>
          <w:sz w:val="32"/>
          <w:szCs w:val="32"/>
        </w:rPr>
      </w:pPr>
      <w:r>
        <w:rPr>
          <w:sz w:val="32"/>
          <w:szCs w:val="32"/>
        </w:rPr>
        <w:fldChar w:fldCharType="begin"/>
      </w:r>
      <w:r>
        <w:rPr>
          <w:sz w:val="32"/>
          <w:szCs w:val="32"/>
        </w:rPr>
        <w:instrText xml:space="preserve"> HYPERLINK \l _Toc1255223105_WPSOffice_Level1 </w:instrText>
      </w:r>
      <w:r>
        <w:rPr>
          <w:sz w:val="32"/>
          <w:szCs w:val="32"/>
        </w:rPr>
        <w:fldChar w:fldCharType="separate"/>
      </w:r>
      <w:r>
        <w:rPr>
          <w:rFonts w:hint="eastAsia" w:ascii="黑体" w:hAnsi="宋体" w:eastAsia="黑体" w:cs="黑体"/>
          <w:sz w:val="32"/>
          <w:szCs w:val="32"/>
        </w:rPr>
        <w:t>四、财政拨款收支预算情况说明</w:t>
      </w:r>
      <w:r>
        <w:rPr>
          <w:sz w:val="32"/>
          <w:szCs w:val="32"/>
        </w:rPr>
        <w:tab/>
      </w:r>
      <w:bookmarkStart w:id="8" w:name="_Toc1255223105_WPSOffice_Level1Page"/>
      <w:r>
        <w:rPr>
          <w:sz w:val="32"/>
          <w:szCs w:val="32"/>
        </w:rPr>
        <w:t>6</w:t>
      </w:r>
      <w:bookmarkEnd w:id="8"/>
      <w:r>
        <w:rPr>
          <w:sz w:val="32"/>
          <w:szCs w:val="32"/>
        </w:rPr>
        <w:fldChar w:fldCharType="end"/>
      </w:r>
    </w:p>
    <w:p>
      <w:pPr>
        <w:pStyle w:val="7"/>
        <w:tabs>
          <w:tab w:val="right" w:leader="dot" w:pos="8306"/>
        </w:tabs>
        <w:rPr>
          <w:sz w:val="32"/>
          <w:szCs w:val="32"/>
        </w:rPr>
      </w:pPr>
      <w:r>
        <w:rPr>
          <w:sz w:val="32"/>
          <w:szCs w:val="32"/>
        </w:rPr>
        <w:fldChar w:fldCharType="begin"/>
      </w:r>
      <w:r>
        <w:rPr>
          <w:sz w:val="32"/>
          <w:szCs w:val="32"/>
        </w:rPr>
        <w:instrText xml:space="preserve"> HYPERLINK \l _Toc104927779_WPSOffice_Level1 </w:instrText>
      </w:r>
      <w:r>
        <w:rPr>
          <w:sz w:val="32"/>
          <w:szCs w:val="32"/>
        </w:rPr>
        <w:fldChar w:fldCharType="separate"/>
      </w:r>
      <w:r>
        <w:rPr>
          <w:rFonts w:hint="eastAsia" w:ascii="黑体" w:hAnsi="宋体" w:eastAsia="黑体" w:cs="黑体"/>
          <w:sz w:val="32"/>
          <w:szCs w:val="32"/>
        </w:rPr>
        <w:t>五、一般公共预算当年拨款情况说明</w:t>
      </w:r>
      <w:r>
        <w:rPr>
          <w:sz w:val="32"/>
          <w:szCs w:val="32"/>
        </w:rPr>
        <w:tab/>
      </w:r>
      <w:bookmarkStart w:id="9" w:name="_Toc104927779_WPSOffice_Level1Page"/>
      <w:r>
        <w:rPr>
          <w:sz w:val="32"/>
          <w:szCs w:val="32"/>
        </w:rPr>
        <w:t>6</w:t>
      </w:r>
      <w:bookmarkEnd w:id="9"/>
      <w:r>
        <w:rPr>
          <w:sz w:val="32"/>
          <w:szCs w:val="32"/>
        </w:rPr>
        <w:fldChar w:fldCharType="end"/>
      </w:r>
    </w:p>
    <w:p>
      <w:pPr>
        <w:pStyle w:val="6"/>
        <w:tabs>
          <w:tab w:val="right" w:leader="dot" w:pos="8306"/>
        </w:tabs>
        <w:rPr>
          <w:sz w:val="32"/>
          <w:szCs w:val="32"/>
        </w:rPr>
      </w:pPr>
      <w:r>
        <w:rPr>
          <w:sz w:val="32"/>
          <w:szCs w:val="32"/>
        </w:rPr>
        <w:fldChar w:fldCharType="begin"/>
      </w:r>
      <w:r>
        <w:rPr>
          <w:sz w:val="32"/>
          <w:szCs w:val="32"/>
        </w:rPr>
        <w:instrText xml:space="preserve"> HYPERLINK \l _Toc2129263769_WPSOffice_Level2 </w:instrText>
      </w:r>
      <w:r>
        <w:rPr>
          <w:sz w:val="32"/>
          <w:szCs w:val="32"/>
        </w:rPr>
        <w:fldChar w:fldCharType="separate"/>
      </w:r>
      <w:r>
        <w:rPr>
          <w:rFonts w:hint="default" w:ascii="楷体_GB2312" w:hAnsi="Calibri" w:eastAsia="楷体_GB2312" w:cs="楷体_GB2312"/>
          <w:sz w:val="32"/>
          <w:szCs w:val="32"/>
        </w:rPr>
        <w:t>（一）一般公共预算当年拨款规模变化情况</w:t>
      </w:r>
      <w:r>
        <w:rPr>
          <w:sz w:val="32"/>
          <w:szCs w:val="32"/>
        </w:rPr>
        <w:tab/>
      </w:r>
      <w:bookmarkStart w:id="10" w:name="_Toc2129263769_WPSOffice_Level2Page"/>
      <w:r>
        <w:rPr>
          <w:sz w:val="32"/>
          <w:szCs w:val="32"/>
        </w:rPr>
        <w:t>6</w:t>
      </w:r>
      <w:bookmarkEnd w:id="10"/>
      <w:r>
        <w:rPr>
          <w:sz w:val="32"/>
          <w:szCs w:val="32"/>
        </w:rPr>
        <w:fldChar w:fldCharType="end"/>
      </w:r>
    </w:p>
    <w:p>
      <w:pPr>
        <w:pStyle w:val="6"/>
        <w:tabs>
          <w:tab w:val="right" w:leader="dot" w:pos="8306"/>
        </w:tabs>
        <w:rPr>
          <w:sz w:val="32"/>
          <w:szCs w:val="32"/>
        </w:rPr>
      </w:pPr>
      <w:r>
        <w:rPr>
          <w:sz w:val="32"/>
          <w:szCs w:val="32"/>
        </w:rPr>
        <w:fldChar w:fldCharType="begin"/>
      </w:r>
      <w:r>
        <w:rPr>
          <w:sz w:val="32"/>
          <w:szCs w:val="32"/>
        </w:rPr>
        <w:instrText xml:space="preserve"> HYPERLINK \l _Toc979983472_WPSOffice_Level2 </w:instrText>
      </w:r>
      <w:r>
        <w:rPr>
          <w:sz w:val="32"/>
          <w:szCs w:val="32"/>
        </w:rPr>
        <w:fldChar w:fldCharType="separate"/>
      </w:r>
      <w:r>
        <w:rPr>
          <w:rFonts w:hint="default" w:ascii="楷体_GB2312" w:hAnsi="Calibri" w:eastAsia="楷体_GB2312" w:cs="楷体_GB2312"/>
          <w:sz w:val="32"/>
          <w:szCs w:val="32"/>
        </w:rPr>
        <w:t>（二）一般公共预算当年拨款结构情况</w:t>
      </w:r>
      <w:r>
        <w:rPr>
          <w:sz w:val="32"/>
          <w:szCs w:val="32"/>
        </w:rPr>
        <w:tab/>
      </w:r>
      <w:bookmarkStart w:id="11" w:name="_Toc979983472_WPSOffice_Level2Page"/>
      <w:r>
        <w:rPr>
          <w:sz w:val="32"/>
          <w:szCs w:val="32"/>
        </w:rPr>
        <w:t>6</w:t>
      </w:r>
      <w:bookmarkEnd w:id="11"/>
      <w:r>
        <w:rPr>
          <w:sz w:val="32"/>
          <w:szCs w:val="32"/>
        </w:rPr>
        <w:fldChar w:fldCharType="end"/>
      </w:r>
    </w:p>
    <w:p>
      <w:pPr>
        <w:pStyle w:val="6"/>
        <w:tabs>
          <w:tab w:val="right" w:leader="dot" w:pos="8306"/>
        </w:tabs>
        <w:rPr>
          <w:sz w:val="32"/>
          <w:szCs w:val="32"/>
        </w:rPr>
      </w:pPr>
      <w:r>
        <w:rPr>
          <w:sz w:val="32"/>
          <w:szCs w:val="32"/>
        </w:rPr>
        <w:fldChar w:fldCharType="begin"/>
      </w:r>
      <w:r>
        <w:rPr>
          <w:sz w:val="32"/>
          <w:szCs w:val="32"/>
        </w:rPr>
        <w:instrText xml:space="preserve"> HYPERLINK \l _Toc1316511836_WPSOffice_Level2 </w:instrText>
      </w:r>
      <w:r>
        <w:rPr>
          <w:sz w:val="32"/>
          <w:szCs w:val="32"/>
        </w:rPr>
        <w:fldChar w:fldCharType="separate"/>
      </w:r>
      <w:r>
        <w:rPr>
          <w:rFonts w:hint="default" w:ascii="楷体_GB2312" w:hAnsi="Calibri" w:eastAsia="楷体_GB2312" w:cs="楷体_GB2312"/>
          <w:sz w:val="32"/>
          <w:szCs w:val="32"/>
        </w:rPr>
        <w:t>（三）一般公共预算当年拨款具体使用情况</w:t>
      </w:r>
      <w:r>
        <w:rPr>
          <w:sz w:val="32"/>
          <w:szCs w:val="32"/>
        </w:rPr>
        <w:tab/>
      </w:r>
      <w:bookmarkStart w:id="12" w:name="_Toc1316511836_WPSOffice_Level2Page"/>
      <w:r>
        <w:rPr>
          <w:sz w:val="32"/>
          <w:szCs w:val="32"/>
        </w:rPr>
        <w:t>6</w:t>
      </w:r>
      <w:bookmarkEnd w:id="12"/>
      <w:r>
        <w:rPr>
          <w:sz w:val="32"/>
          <w:szCs w:val="32"/>
        </w:rPr>
        <w:fldChar w:fldCharType="end"/>
      </w:r>
    </w:p>
    <w:p>
      <w:pPr>
        <w:pStyle w:val="7"/>
        <w:tabs>
          <w:tab w:val="right" w:leader="dot" w:pos="8306"/>
        </w:tabs>
        <w:rPr>
          <w:sz w:val="32"/>
          <w:szCs w:val="32"/>
        </w:rPr>
      </w:pPr>
      <w:r>
        <w:rPr>
          <w:sz w:val="32"/>
          <w:szCs w:val="32"/>
        </w:rPr>
        <w:fldChar w:fldCharType="begin"/>
      </w:r>
      <w:r>
        <w:rPr>
          <w:sz w:val="32"/>
          <w:szCs w:val="32"/>
        </w:rPr>
        <w:instrText xml:space="preserve"> HYPERLINK \l _Toc795508266_WPSOffice_Level1 </w:instrText>
      </w:r>
      <w:r>
        <w:rPr>
          <w:sz w:val="32"/>
          <w:szCs w:val="32"/>
        </w:rPr>
        <w:fldChar w:fldCharType="separate"/>
      </w:r>
      <w:r>
        <w:rPr>
          <w:rFonts w:hint="eastAsia" w:ascii="黑体" w:hAnsi="宋体" w:eastAsia="黑体" w:cs="黑体"/>
          <w:sz w:val="32"/>
          <w:szCs w:val="32"/>
        </w:rPr>
        <w:t>六、一般公共预算基本支出情况说明</w:t>
      </w:r>
      <w:r>
        <w:rPr>
          <w:sz w:val="32"/>
          <w:szCs w:val="32"/>
        </w:rPr>
        <w:tab/>
      </w:r>
      <w:bookmarkStart w:id="13" w:name="_Toc795508266_WPSOffice_Level1Page"/>
      <w:r>
        <w:rPr>
          <w:sz w:val="32"/>
          <w:szCs w:val="32"/>
        </w:rPr>
        <w:t>7</w:t>
      </w:r>
      <w:bookmarkEnd w:id="13"/>
      <w:r>
        <w:rPr>
          <w:sz w:val="32"/>
          <w:szCs w:val="32"/>
        </w:rPr>
        <w:fldChar w:fldCharType="end"/>
      </w:r>
    </w:p>
    <w:p>
      <w:pPr>
        <w:pStyle w:val="7"/>
        <w:tabs>
          <w:tab w:val="right" w:leader="dot" w:pos="8306"/>
        </w:tabs>
        <w:rPr>
          <w:sz w:val="32"/>
          <w:szCs w:val="32"/>
        </w:rPr>
      </w:pPr>
      <w:r>
        <w:rPr>
          <w:sz w:val="32"/>
          <w:szCs w:val="32"/>
        </w:rPr>
        <w:fldChar w:fldCharType="begin"/>
      </w:r>
      <w:r>
        <w:rPr>
          <w:sz w:val="32"/>
          <w:szCs w:val="32"/>
        </w:rPr>
        <w:instrText xml:space="preserve"> HYPERLINK \l _Toc942336256_WPSOffice_Level1 </w:instrText>
      </w:r>
      <w:r>
        <w:rPr>
          <w:sz w:val="32"/>
          <w:szCs w:val="32"/>
        </w:rPr>
        <w:fldChar w:fldCharType="separate"/>
      </w:r>
      <w:r>
        <w:rPr>
          <w:rFonts w:hint="eastAsia" w:ascii="黑体" w:hAnsi="宋体" w:eastAsia="黑体" w:cs="黑体"/>
          <w:sz w:val="32"/>
          <w:szCs w:val="32"/>
        </w:rPr>
        <w:t>七、“三公”经费财政拨款预算安排情况说明</w:t>
      </w:r>
      <w:r>
        <w:rPr>
          <w:sz w:val="32"/>
          <w:szCs w:val="32"/>
        </w:rPr>
        <w:tab/>
      </w:r>
      <w:bookmarkStart w:id="14" w:name="_Toc942336256_WPSOffice_Level1Page"/>
      <w:r>
        <w:rPr>
          <w:sz w:val="32"/>
          <w:szCs w:val="32"/>
        </w:rPr>
        <w:t>7</w:t>
      </w:r>
      <w:bookmarkEnd w:id="14"/>
      <w:r>
        <w:rPr>
          <w:sz w:val="32"/>
          <w:szCs w:val="32"/>
        </w:rPr>
        <w:fldChar w:fldCharType="end"/>
      </w:r>
    </w:p>
    <w:p>
      <w:pPr>
        <w:pStyle w:val="7"/>
        <w:tabs>
          <w:tab w:val="right" w:leader="dot" w:pos="8306"/>
        </w:tabs>
        <w:rPr>
          <w:sz w:val="32"/>
          <w:szCs w:val="32"/>
        </w:rPr>
      </w:pPr>
      <w:r>
        <w:rPr>
          <w:sz w:val="32"/>
          <w:szCs w:val="32"/>
        </w:rPr>
        <w:fldChar w:fldCharType="begin"/>
      </w:r>
      <w:r>
        <w:rPr>
          <w:sz w:val="32"/>
          <w:szCs w:val="32"/>
        </w:rPr>
        <w:instrText xml:space="preserve"> HYPERLINK \l _Toc1127235906_WPSOffice_Level1 </w:instrText>
      </w:r>
      <w:r>
        <w:rPr>
          <w:sz w:val="32"/>
          <w:szCs w:val="32"/>
        </w:rPr>
        <w:fldChar w:fldCharType="separate"/>
      </w:r>
      <w:r>
        <w:rPr>
          <w:rFonts w:hint="eastAsia" w:ascii="黑体" w:hAnsi="宋体" w:eastAsia="黑体" w:cs="黑体"/>
          <w:sz w:val="32"/>
          <w:szCs w:val="32"/>
        </w:rPr>
        <w:t>八、政府性基金预算支出情况说明</w:t>
      </w:r>
      <w:r>
        <w:rPr>
          <w:sz w:val="32"/>
          <w:szCs w:val="32"/>
        </w:rPr>
        <w:tab/>
      </w:r>
      <w:bookmarkStart w:id="15" w:name="_Toc1127235906_WPSOffice_Level1Page"/>
      <w:r>
        <w:rPr>
          <w:sz w:val="32"/>
          <w:szCs w:val="32"/>
        </w:rPr>
        <w:t>8</w:t>
      </w:r>
      <w:bookmarkEnd w:id="15"/>
      <w:r>
        <w:rPr>
          <w:sz w:val="32"/>
          <w:szCs w:val="32"/>
        </w:rPr>
        <w:fldChar w:fldCharType="end"/>
      </w:r>
    </w:p>
    <w:p>
      <w:pPr>
        <w:pStyle w:val="7"/>
        <w:tabs>
          <w:tab w:val="right" w:leader="dot" w:pos="8306"/>
        </w:tabs>
        <w:rPr>
          <w:sz w:val="32"/>
          <w:szCs w:val="32"/>
        </w:rPr>
      </w:pPr>
      <w:r>
        <w:rPr>
          <w:sz w:val="32"/>
          <w:szCs w:val="32"/>
        </w:rPr>
        <w:fldChar w:fldCharType="begin"/>
      </w:r>
      <w:r>
        <w:rPr>
          <w:sz w:val="32"/>
          <w:szCs w:val="32"/>
        </w:rPr>
        <w:instrText xml:space="preserve"> HYPERLINK \l _Toc10972804_WPSOffice_Level1 </w:instrText>
      </w:r>
      <w:r>
        <w:rPr>
          <w:sz w:val="32"/>
          <w:szCs w:val="32"/>
        </w:rPr>
        <w:fldChar w:fldCharType="separate"/>
      </w:r>
      <w:r>
        <w:rPr>
          <w:rFonts w:hint="eastAsia" w:ascii="黑体" w:hAnsi="宋体" w:eastAsia="黑体" w:cs="黑体"/>
          <w:sz w:val="32"/>
          <w:szCs w:val="32"/>
        </w:rPr>
        <w:t>九、其他重要事项的情况说明</w:t>
      </w:r>
      <w:r>
        <w:rPr>
          <w:sz w:val="32"/>
          <w:szCs w:val="32"/>
        </w:rPr>
        <w:tab/>
      </w:r>
      <w:bookmarkStart w:id="16" w:name="_Toc10972804_WPSOffice_Level1Page"/>
      <w:r>
        <w:rPr>
          <w:sz w:val="32"/>
          <w:szCs w:val="32"/>
        </w:rPr>
        <w:t>8</w:t>
      </w:r>
      <w:bookmarkEnd w:id="16"/>
      <w:r>
        <w:rPr>
          <w:sz w:val="32"/>
          <w:szCs w:val="32"/>
        </w:rPr>
        <w:fldChar w:fldCharType="end"/>
      </w:r>
    </w:p>
    <w:p>
      <w:pPr>
        <w:pStyle w:val="6"/>
        <w:tabs>
          <w:tab w:val="right" w:leader="dot" w:pos="8306"/>
        </w:tabs>
        <w:rPr>
          <w:sz w:val="32"/>
          <w:szCs w:val="32"/>
        </w:rPr>
      </w:pPr>
      <w:r>
        <w:rPr>
          <w:sz w:val="32"/>
          <w:szCs w:val="32"/>
        </w:rPr>
        <w:fldChar w:fldCharType="begin"/>
      </w:r>
      <w:r>
        <w:rPr>
          <w:sz w:val="32"/>
          <w:szCs w:val="32"/>
        </w:rPr>
        <w:instrText xml:space="preserve"> HYPERLINK \l _Toc1581388827_WPSOffice_Level2 </w:instrText>
      </w:r>
      <w:r>
        <w:rPr>
          <w:sz w:val="32"/>
          <w:szCs w:val="32"/>
        </w:rPr>
        <w:fldChar w:fldCharType="separate"/>
      </w:r>
      <w:r>
        <w:rPr>
          <w:rFonts w:hint="default" w:ascii="楷体_GB2312" w:hAnsi="Calibri" w:eastAsia="楷体_GB2312" w:cs="楷体_GB2312"/>
          <w:sz w:val="32"/>
          <w:szCs w:val="32"/>
        </w:rPr>
        <w:t>（一）机关运行经费</w:t>
      </w:r>
      <w:r>
        <w:rPr>
          <w:sz w:val="32"/>
          <w:szCs w:val="32"/>
        </w:rPr>
        <w:tab/>
      </w:r>
      <w:bookmarkStart w:id="17" w:name="_Toc1581388827_WPSOffice_Level2Page"/>
      <w:r>
        <w:rPr>
          <w:sz w:val="32"/>
          <w:szCs w:val="32"/>
        </w:rPr>
        <w:t>8</w:t>
      </w:r>
      <w:bookmarkEnd w:id="17"/>
      <w:r>
        <w:rPr>
          <w:sz w:val="32"/>
          <w:szCs w:val="32"/>
        </w:rPr>
        <w:fldChar w:fldCharType="end"/>
      </w:r>
    </w:p>
    <w:p>
      <w:pPr>
        <w:pStyle w:val="6"/>
        <w:tabs>
          <w:tab w:val="right" w:leader="dot" w:pos="8306"/>
        </w:tabs>
        <w:rPr>
          <w:sz w:val="32"/>
          <w:szCs w:val="32"/>
        </w:rPr>
      </w:pPr>
      <w:r>
        <w:rPr>
          <w:sz w:val="32"/>
          <w:szCs w:val="32"/>
        </w:rPr>
        <w:fldChar w:fldCharType="begin"/>
      </w:r>
      <w:r>
        <w:rPr>
          <w:sz w:val="32"/>
          <w:szCs w:val="32"/>
        </w:rPr>
        <w:instrText xml:space="preserve"> HYPERLINK \l _Toc1691847074_WPSOffice_Level2 </w:instrText>
      </w:r>
      <w:r>
        <w:rPr>
          <w:sz w:val="32"/>
          <w:szCs w:val="32"/>
        </w:rPr>
        <w:fldChar w:fldCharType="separate"/>
      </w:r>
      <w:r>
        <w:rPr>
          <w:rFonts w:hint="default" w:ascii="楷体_GB2312" w:hAnsi="Calibri" w:eastAsia="楷体_GB2312" w:cs="楷体_GB2312"/>
          <w:sz w:val="32"/>
          <w:szCs w:val="32"/>
        </w:rPr>
        <w:t>（二）国有资产占有使用情况</w:t>
      </w:r>
      <w:r>
        <w:rPr>
          <w:sz w:val="32"/>
          <w:szCs w:val="32"/>
        </w:rPr>
        <w:tab/>
      </w:r>
      <w:bookmarkStart w:id="18" w:name="_Toc1691847074_WPSOffice_Level2Page"/>
      <w:r>
        <w:rPr>
          <w:sz w:val="32"/>
          <w:szCs w:val="32"/>
        </w:rPr>
        <w:t>8</w:t>
      </w:r>
      <w:bookmarkEnd w:id="18"/>
      <w:r>
        <w:rPr>
          <w:sz w:val="32"/>
          <w:szCs w:val="32"/>
        </w:rPr>
        <w:fldChar w:fldCharType="end"/>
      </w:r>
    </w:p>
    <w:p>
      <w:pPr>
        <w:pStyle w:val="6"/>
        <w:tabs>
          <w:tab w:val="right" w:leader="dot" w:pos="8306"/>
        </w:tabs>
        <w:rPr>
          <w:sz w:val="32"/>
          <w:szCs w:val="32"/>
        </w:rPr>
      </w:pPr>
      <w:r>
        <w:rPr>
          <w:sz w:val="32"/>
          <w:szCs w:val="32"/>
        </w:rPr>
        <w:fldChar w:fldCharType="begin"/>
      </w:r>
      <w:r>
        <w:rPr>
          <w:sz w:val="32"/>
          <w:szCs w:val="32"/>
        </w:rPr>
        <w:instrText xml:space="preserve"> HYPERLINK \l _Toc313488517_WPSOffice_Level2 </w:instrText>
      </w:r>
      <w:r>
        <w:rPr>
          <w:sz w:val="32"/>
          <w:szCs w:val="32"/>
        </w:rPr>
        <w:fldChar w:fldCharType="separate"/>
      </w:r>
      <w:r>
        <w:rPr>
          <w:rFonts w:hint="default" w:ascii="楷体_GB2312" w:hAnsi="Calibri" w:eastAsia="楷体_GB2312" w:cs="楷体_GB2312"/>
          <w:sz w:val="32"/>
          <w:szCs w:val="32"/>
        </w:rPr>
        <w:t>（三）绩效目标设置情况</w:t>
      </w:r>
      <w:r>
        <w:rPr>
          <w:sz w:val="32"/>
          <w:szCs w:val="32"/>
        </w:rPr>
        <w:tab/>
      </w:r>
      <w:bookmarkStart w:id="19" w:name="_Toc313488517_WPSOffice_Level2Page"/>
      <w:r>
        <w:rPr>
          <w:sz w:val="32"/>
          <w:szCs w:val="32"/>
        </w:rPr>
        <w:t>8</w:t>
      </w:r>
      <w:bookmarkEnd w:id="19"/>
      <w:r>
        <w:rPr>
          <w:sz w:val="32"/>
          <w:szCs w:val="32"/>
        </w:rPr>
        <w:fldChar w:fldCharType="end"/>
      </w:r>
    </w:p>
    <w:p>
      <w:pPr>
        <w:pStyle w:val="7"/>
        <w:tabs>
          <w:tab w:val="right" w:leader="dot" w:pos="8306"/>
        </w:tabs>
        <w:rPr>
          <w:sz w:val="32"/>
          <w:szCs w:val="32"/>
        </w:rPr>
      </w:pPr>
      <w:r>
        <w:rPr>
          <w:sz w:val="32"/>
          <w:szCs w:val="32"/>
        </w:rPr>
        <w:fldChar w:fldCharType="begin"/>
      </w:r>
      <w:r>
        <w:rPr>
          <w:sz w:val="32"/>
          <w:szCs w:val="32"/>
        </w:rPr>
        <w:instrText xml:space="preserve"> HYPERLINK \l _Toc818463443_WPSOffice_Level1 </w:instrText>
      </w:r>
      <w:r>
        <w:rPr>
          <w:sz w:val="32"/>
          <w:szCs w:val="32"/>
        </w:rPr>
        <w:fldChar w:fldCharType="separate"/>
      </w:r>
      <w:r>
        <w:rPr>
          <w:rFonts w:hint="eastAsia" w:ascii="黑体" w:hAnsi="宋体" w:eastAsia="黑体" w:cs="黑体"/>
          <w:sz w:val="32"/>
          <w:szCs w:val="32"/>
        </w:rPr>
        <w:t>十、政府采购安排情况说明</w:t>
      </w:r>
      <w:r>
        <w:rPr>
          <w:sz w:val="32"/>
          <w:szCs w:val="32"/>
        </w:rPr>
        <w:tab/>
      </w:r>
      <w:bookmarkStart w:id="20" w:name="_Toc818463443_WPSOffice_Level1Page"/>
      <w:r>
        <w:rPr>
          <w:sz w:val="32"/>
          <w:szCs w:val="32"/>
        </w:rPr>
        <w:t>9</w:t>
      </w:r>
      <w:bookmarkEnd w:id="20"/>
      <w:r>
        <w:rPr>
          <w:sz w:val="32"/>
          <w:szCs w:val="32"/>
        </w:rPr>
        <w:fldChar w:fldCharType="end"/>
      </w:r>
    </w:p>
    <w:p>
      <w:pPr>
        <w:pStyle w:val="7"/>
        <w:tabs>
          <w:tab w:val="right" w:leader="dot" w:pos="8306"/>
        </w:tabs>
        <w:rPr>
          <w:sz w:val="32"/>
          <w:szCs w:val="32"/>
        </w:rPr>
      </w:pPr>
      <w:r>
        <w:rPr>
          <w:sz w:val="32"/>
          <w:szCs w:val="32"/>
        </w:rPr>
        <w:fldChar w:fldCharType="begin"/>
      </w:r>
      <w:r>
        <w:rPr>
          <w:sz w:val="32"/>
          <w:szCs w:val="32"/>
        </w:rPr>
        <w:instrText xml:space="preserve"> HYPERLINK \l _Toc112491473_WPSOffice_Level1 </w:instrText>
      </w:r>
      <w:r>
        <w:rPr>
          <w:sz w:val="32"/>
          <w:szCs w:val="32"/>
        </w:rPr>
        <w:fldChar w:fldCharType="separate"/>
      </w:r>
      <w:r>
        <w:rPr>
          <w:rFonts w:hint="eastAsia" w:ascii="黑体" w:hAnsi="宋体" w:eastAsia="黑体" w:cs="黑体"/>
          <w:sz w:val="32"/>
          <w:szCs w:val="32"/>
        </w:rPr>
        <w:t>十一、名词解释</w:t>
      </w:r>
      <w:r>
        <w:rPr>
          <w:sz w:val="32"/>
          <w:szCs w:val="32"/>
        </w:rPr>
        <w:tab/>
      </w:r>
      <w:bookmarkStart w:id="21" w:name="_Toc112491473_WPSOffice_Level1Page"/>
      <w:r>
        <w:rPr>
          <w:sz w:val="32"/>
          <w:szCs w:val="32"/>
        </w:rPr>
        <w:t>9</w:t>
      </w:r>
      <w:bookmarkEnd w:id="21"/>
      <w:r>
        <w:rPr>
          <w:sz w:val="32"/>
          <w:szCs w:val="32"/>
        </w:rPr>
        <w:fldChar w:fldCharType="end"/>
      </w:r>
      <w:bookmarkEnd w:id="0"/>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600" w:lineRule="exact"/>
        <w:ind w:left="0" w:right="0" w:firstLine="0"/>
        <w:jc w:val="both"/>
        <w:outlineLvl w:val="9"/>
        <w:rPr>
          <w:rFonts w:hint="eastAsia" w:ascii="黑体" w:hAnsi="宋体" w:eastAsia="黑体" w:cs="黑体"/>
          <w:caps w:val="0"/>
          <w:color w:val="auto"/>
          <w:sz w:val="32"/>
          <w:szCs w:val="32"/>
          <w:vertAlign w:val="baseline"/>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600" w:lineRule="exact"/>
        <w:ind w:left="0" w:right="0" w:firstLine="0"/>
        <w:jc w:val="both"/>
        <w:outlineLvl w:val="9"/>
        <w:rPr>
          <w:rFonts w:hint="eastAsia" w:ascii="黑体" w:hAnsi="宋体" w:eastAsia="黑体" w:cs="黑体"/>
          <w:caps w:val="0"/>
          <w:color w:val="auto"/>
          <w:sz w:val="32"/>
          <w:szCs w:val="32"/>
          <w:vertAlign w:val="baseline"/>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600" w:lineRule="exact"/>
        <w:ind w:left="0" w:right="0" w:firstLine="0"/>
        <w:jc w:val="both"/>
        <w:outlineLvl w:val="9"/>
        <w:rPr>
          <w:rFonts w:hint="eastAsia" w:ascii="黑体" w:hAnsi="宋体" w:eastAsia="黑体" w:cs="黑体"/>
          <w:caps w:val="0"/>
          <w:color w:val="auto"/>
          <w:sz w:val="32"/>
          <w:szCs w:val="32"/>
          <w:vertAlign w:val="baseline"/>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600" w:lineRule="exact"/>
        <w:ind w:left="0" w:right="0" w:firstLine="0"/>
        <w:jc w:val="both"/>
        <w:outlineLvl w:val="9"/>
        <w:rPr>
          <w:rFonts w:hint="eastAsia" w:ascii="黑体" w:hAnsi="宋体" w:eastAsia="黑体" w:cs="黑体"/>
          <w:caps w:val="0"/>
          <w:color w:val="auto"/>
          <w:sz w:val="32"/>
          <w:szCs w:val="32"/>
          <w:vertAlign w:val="baseline"/>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600" w:lineRule="exact"/>
        <w:ind w:left="0" w:right="0" w:firstLine="0"/>
        <w:jc w:val="both"/>
        <w:outlineLvl w:val="9"/>
        <w:rPr>
          <w:rFonts w:hint="eastAsia" w:ascii="黑体" w:hAnsi="宋体" w:eastAsia="黑体" w:cs="黑体"/>
          <w:caps w:val="0"/>
          <w:color w:val="auto"/>
          <w:sz w:val="32"/>
          <w:szCs w:val="32"/>
          <w:vertAlign w:val="baseline"/>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600" w:lineRule="exact"/>
        <w:ind w:left="0" w:right="0" w:firstLine="0"/>
        <w:jc w:val="both"/>
        <w:outlineLvl w:val="9"/>
        <w:rPr>
          <w:rFonts w:hint="eastAsia" w:ascii="黑体" w:hAnsi="宋体" w:eastAsia="黑体" w:cs="黑体"/>
          <w:caps w:val="0"/>
          <w:color w:val="auto"/>
          <w:sz w:val="32"/>
          <w:szCs w:val="32"/>
          <w:vertAlign w:val="baseline"/>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600" w:lineRule="exact"/>
        <w:ind w:left="0" w:right="0" w:firstLine="0"/>
        <w:jc w:val="both"/>
        <w:outlineLvl w:val="9"/>
        <w:rPr>
          <w:rFonts w:hint="eastAsia" w:ascii="黑体" w:hAnsi="宋体" w:eastAsia="黑体" w:cs="黑体"/>
          <w:caps w:val="0"/>
          <w:color w:val="auto"/>
          <w:sz w:val="32"/>
          <w:szCs w:val="32"/>
          <w:vertAlign w:val="baseline"/>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600" w:lineRule="exact"/>
        <w:ind w:left="0" w:right="0" w:firstLine="0"/>
        <w:jc w:val="both"/>
        <w:outlineLvl w:val="9"/>
        <w:rPr>
          <w:rFonts w:hint="eastAsia" w:ascii="黑体" w:hAnsi="宋体" w:eastAsia="黑体" w:cs="黑体"/>
          <w:caps w:val="0"/>
          <w:color w:val="auto"/>
          <w:sz w:val="32"/>
          <w:szCs w:val="32"/>
          <w:vertAlign w:val="baseline"/>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600" w:lineRule="exact"/>
        <w:ind w:left="0" w:right="0" w:firstLine="0"/>
        <w:jc w:val="both"/>
        <w:outlineLvl w:val="9"/>
        <w:rPr>
          <w:rFonts w:hint="eastAsia" w:ascii="黑体" w:hAnsi="宋体" w:eastAsia="黑体" w:cs="黑体"/>
          <w:caps w:val="0"/>
          <w:color w:val="auto"/>
          <w:sz w:val="32"/>
          <w:szCs w:val="32"/>
          <w:vertAlign w:val="baseline"/>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600" w:lineRule="exact"/>
        <w:ind w:left="0" w:right="0" w:firstLine="0"/>
        <w:jc w:val="both"/>
        <w:outlineLvl w:val="9"/>
        <w:rPr>
          <w:rFonts w:hint="eastAsia" w:ascii="黑体" w:hAnsi="宋体" w:eastAsia="黑体" w:cs="黑体"/>
          <w:caps w:val="0"/>
          <w:color w:val="auto"/>
          <w:sz w:val="32"/>
          <w:szCs w:val="32"/>
          <w:vertAlign w:val="baseline"/>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600" w:lineRule="exact"/>
        <w:ind w:left="0" w:right="0" w:firstLine="0"/>
        <w:jc w:val="both"/>
        <w:outlineLvl w:val="9"/>
        <w:rPr>
          <w:rFonts w:hint="eastAsia" w:ascii="黑体" w:hAnsi="宋体" w:eastAsia="黑体" w:cs="黑体"/>
          <w:caps w:val="0"/>
          <w:color w:val="auto"/>
          <w:sz w:val="32"/>
          <w:szCs w:val="32"/>
          <w:vertAlign w:val="baseline"/>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600" w:lineRule="exact"/>
        <w:ind w:left="0" w:right="0" w:firstLine="0"/>
        <w:jc w:val="both"/>
        <w:outlineLvl w:val="9"/>
        <w:rPr>
          <w:rFonts w:hint="eastAsia" w:ascii="黑体" w:hAnsi="宋体" w:eastAsia="黑体" w:cs="黑体"/>
          <w:caps w:val="0"/>
          <w:color w:val="auto"/>
          <w:sz w:val="32"/>
          <w:szCs w:val="32"/>
          <w:vertAlign w:val="baseline"/>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600" w:lineRule="exact"/>
        <w:ind w:left="0" w:right="0" w:firstLine="0"/>
        <w:jc w:val="both"/>
        <w:outlineLvl w:val="9"/>
        <w:rPr>
          <w:rFonts w:hint="eastAsia" w:ascii="黑体" w:hAnsi="宋体" w:eastAsia="黑体" w:cs="黑体"/>
          <w:caps w:val="0"/>
          <w:color w:val="auto"/>
          <w:sz w:val="32"/>
          <w:szCs w:val="32"/>
          <w:vertAlign w:val="baseline"/>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600" w:lineRule="exact"/>
        <w:ind w:left="0" w:right="0" w:firstLine="0"/>
        <w:jc w:val="both"/>
        <w:outlineLvl w:val="9"/>
        <w:rPr>
          <w:rFonts w:hint="eastAsia" w:ascii="黑体" w:hAnsi="宋体" w:eastAsia="黑体" w:cs="黑体"/>
          <w:caps w:val="0"/>
          <w:color w:val="auto"/>
          <w:sz w:val="32"/>
          <w:szCs w:val="32"/>
          <w:vertAlign w:val="baseline"/>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600" w:lineRule="exact"/>
        <w:ind w:left="0" w:right="0" w:firstLine="0"/>
        <w:jc w:val="both"/>
        <w:outlineLvl w:val="9"/>
        <w:rPr>
          <w:rFonts w:hint="eastAsia" w:ascii="黑体" w:hAnsi="宋体" w:eastAsia="黑体" w:cs="黑体"/>
          <w:caps w:val="0"/>
          <w:color w:val="auto"/>
          <w:sz w:val="32"/>
          <w:szCs w:val="32"/>
          <w:vertAlign w:val="baseline"/>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600" w:lineRule="exact"/>
        <w:ind w:left="0" w:right="0" w:firstLine="0"/>
        <w:jc w:val="both"/>
        <w:outlineLvl w:val="9"/>
        <w:rPr>
          <w:rFonts w:hint="eastAsia" w:ascii="黑体" w:hAnsi="宋体" w:eastAsia="黑体" w:cs="黑体"/>
          <w:caps w:val="0"/>
          <w:color w:val="auto"/>
          <w:sz w:val="32"/>
          <w:szCs w:val="32"/>
          <w:vertAlign w:val="baseline"/>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600" w:lineRule="exact"/>
        <w:ind w:left="0" w:right="0" w:firstLine="0"/>
        <w:jc w:val="both"/>
        <w:outlineLvl w:val="9"/>
        <w:rPr>
          <w:rFonts w:hint="eastAsia" w:ascii="黑体" w:hAnsi="宋体" w:eastAsia="黑体" w:cs="黑体"/>
          <w:caps w:val="0"/>
          <w:color w:val="auto"/>
          <w:sz w:val="32"/>
          <w:szCs w:val="32"/>
          <w:vertAlign w:val="baseline"/>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600" w:lineRule="exact"/>
        <w:ind w:left="0" w:right="0" w:firstLine="0"/>
        <w:jc w:val="both"/>
        <w:outlineLvl w:val="9"/>
        <w:rPr>
          <w:rFonts w:hint="eastAsia" w:ascii="黑体" w:hAnsi="宋体" w:eastAsia="黑体" w:cs="黑体"/>
          <w:caps w:val="0"/>
          <w:color w:val="auto"/>
          <w:sz w:val="32"/>
          <w:szCs w:val="32"/>
          <w:vertAlign w:val="baseline"/>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600" w:lineRule="exact"/>
        <w:ind w:left="0" w:right="0" w:firstLine="0"/>
        <w:jc w:val="both"/>
        <w:outlineLvl w:val="9"/>
        <w:rPr>
          <w:rFonts w:hint="eastAsia" w:ascii="黑体" w:hAnsi="宋体" w:eastAsia="黑体" w:cs="黑体"/>
          <w:caps w:val="0"/>
          <w:color w:val="auto"/>
          <w:sz w:val="32"/>
          <w:szCs w:val="32"/>
          <w:vertAlign w:val="baseline"/>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600" w:lineRule="exact"/>
        <w:ind w:left="0" w:right="0" w:firstLine="0"/>
        <w:jc w:val="both"/>
        <w:outlineLvl w:val="9"/>
        <w:rPr>
          <w:rFonts w:hint="eastAsia" w:ascii="黑体" w:hAnsi="宋体" w:eastAsia="黑体" w:cs="黑体"/>
          <w:caps w:val="0"/>
          <w:color w:val="auto"/>
          <w:sz w:val="32"/>
          <w:szCs w:val="32"/>
          <w:vertAlign w:val="baseline"/>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600" w:lineRule="exact"/>
        <w:ind w:left="0" w:right="0" w:firstLine="0"/>
        <w:jc w:val="both"/>
        <w:outlineLvl w:val="9"/>
        <w:rPr>
          <w:rFonts w:hint="eastAsia" w:ascii="黑体" w:hAnsi="宋体" w:eastAsia="黑体" w:cs="黑体"/>
          <w:caps w:val="0"/>
          <w:color w:val="auto"/>
          <w:sz w:val="32"/>
          <w:szCs w:val="32"/>
          <w:vertAlign w:val="baseline"/>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600" w:lineRule="exact"/>
        <w:ind w:left="0" w:right="0" w:firstLine="480" w:firstLineChars="150"/>
        <w:jc w:val="both"/>
        <w:outlineLvl w:val="9"/>
        <w:rPr>
          <w:rFonts w:hint="eastAsia" w:ascii="黑体" w:hAnsi="宋体" w:eastAsia="黑体" w:cs="黑体"/>
          <w:caps w:val="0"/>
          <w:color w:val="auto"/>
          <w:sz w:val="32"/>
          <w:szCs w:val="32"/>
          <w:vertAlign w:val="baseline"/>
        </w:rPr>
      </w:pPr>
      <w:r>
        <w:rPr>
          <w:rFonts w:hint="eastAsia" w:ascii="黑体" w:hAnsi="宋体" w:eastAsia="黑体" w:cs="黑体"/>
          <w:b w:val="0"/>
          <w:bCs w:val="0"/>
          <w:caps w:val="0"/>
          <w:color w:val="auto"/>
          <w:kern w:val="2"/>
          <w:sz w:val="32"/>
          <w:szCs w:val="32"/>
          <w:vertAlign w:val="baseline"/>
          <w:lang w:val="en-US" w:eastAsia="zh-CN" w:bidi="ar"/>
        </w:rPr>
        <w:t xml:space="preserve">   </w:t>
      </w:r>
      <w:bookmarkStart w:id="22" w:name="_Toc1896412667_WPSOffice_Level1"/>
      <w:r>
        <w:rPr>
          <w:rFonts w:hint="eastAsia" w:ascii="黑体" w:hAnsi="宋体" w:eastAsia="黑体" w:cs="黑体"/>
          <w:b w:val="0"/>
          <w:bCs w:val="0"/>
          <w:caps w:val="0"/>
          <w:color w:val="auto"/>
          <w:kern w:val="2"/>
          <w:sz w:val="32"/>
          <w:szCs w:val="32"/>
          <w:vertAlign w:val="baseline"/>
          <w:lang w:val="en-US" w:eastAsia="zh-CN" w:bidi="ar"/>
        </w:rPr>
        <w:t>一、基本职能及主要工作</w:t>
      </w:r>
      <w:bookmarkEnd w:id="22"/>
    </w:p>
    <w:p>
      <w:pPr>
        <w:pStyle w:val="2"/>
        <w:keepNext w:val="0"/>
        <w:keepLines w:val="0"/>
        <w:pageBreakBefore w:val="0"/>
        <w:widowControl w:val="0"/>
        <w:suppressLineNumbers w:val="0"/>
        <w:suppressAutoHyphens w:val="0"/>
        <w:kinsoku/>
        <w:wordWrap/>
        <w:overflowPunct/>
        <w:topLinePunct w:val="0"/>
        <w:autoSpaceDE/>
        <w:autoSpaceDN w:val="0"/>
        <w:bidi w:val="0"/>
        <w:adjustRightInd w:val="0"/>
        <w:snapToGrid/>
        <w:spacing w:before="93" w:beforeAutospacing="0" w:after="0" w:afterAutospacing="0" w:line="600" w:lineRule="exact"/>
        <w:ind w:left="0" w:right="0" w:firstLine="674" w:firstLineChars="210"/>
        <w:jc w:val="both"/>
        <w:outlineLvl w:val="9"/>
        <w:rPr>
          <w:rFonts w:hint="default" w:ascii="楷体_GB2312" w:eastAsia="楷体_GB2312" w:cs="楷体_GB2312"/>
          <w:b/>
          <w:caps w:val="0"/>
          <w:color w:val="auto"/>
          <w:sz w:val="32"/>
          <w:szCs w:val="32"/>
          <w:vertAlign w:val="baseline"/>
        </w:rPr>
      </w:pPr>
      <w:bookmarkStart w:id="23" w:name="_Toc586280316_WPSOffice_Level2"/>
      <w:r>
        <w:rPr>
          <w:rFonts w:hint="default" w:ascii="楷体_GB2312" w:eastAsia="楷体_GB2312" w:cs="楷体_GB2312"/>
          <w:b/>
          <w:caps w:val="0"/>
          <w:color w:val="auto"/>
          <w:sz w:val="32"/>
          <w:szCs w:val="32"/>
          <w:vertAlign w:val="baseline"/>
        </w:rPr>
        <w:t>（一）市退役军人局职能简介。</w:t>
      </w:r>
      <w:bookmarkEnd w:id="23"/>
    </w:p>
    <w:p>
      <w:pPr>
        <w:keepNext w:val="0"/>
        <w:keepLines w:val="0"/>
        <w:pageBreakBefore w:val="0"/>
        <w:widowControl w:val="0"/>
        <w:suppressLineNumbers w:val="0"/>
        <w:suppressAutoHyphens w:val="0"/>
        <w:kinsoku/>
        <w:wordWrap/>
        <w:overflowPunct/>
        <w:topLinePunct w:val="0"/>
        <w:autoSpaceDE/>
        <w:autoSpaceDN w:val="0"/>
        <w:bidi w:val="0"/>
        <w:adjustRightInd/>
        <w:snapToGrid w:val="0"/>
        <w:spacing w:before="0" w:beforeAutospacing="0" w:after="0" w:afterAutospacing="0" w:line="520" w:lineRule="exact"/>
        <w:ind w:left="0" w:right="0" w:firstLine="640" w:firstLineChars="200"/>
        <w:jc w:val="both"/>
        <w:outlineLvl w:val="9"/>
        <w:rPr>
          <w:rFonts w:hint="default" w:ascii="楷体_GB2312" w:eastAsia="楷体_GB2312" w:cs="楷体_GB2312"/>
          <w:b/>
          <w:caps w:val="0"/>
          <w:color w:val="auto"/>
          <w:sz w:val="32"/>
          <w:szCs w:val="32"/>
          <w:vertAlign w:val="baseline"/>
        </w:rPr>
      </w:pPr>
      <w:r>
        <w:rPr>
          <w:rFonts w:hint="eastAsia" w:ascii="仿宋_GB2312" w:hAnsi="Calibri" w:eastAsia="仿宋_GB2312" w:cs="仿宋_GB2312"/>
          <w:b w:val="0"/>
          <w:bCs w:val="0"/>
          <w:caps w:val="0"/>
          <w:color w:val="auto"/>
          <w:kern w:val="2"/>
          <w:sz w:val="32"/>
          <w:szCs w:val="32"/>
          <w:vertAlign w:val="baseline"/>
          <w:lang w:val="en-US" w:eastAsia="zh-CN" w:bidi="ar"/>
        </w:rPr>
        <w:t>维护军人军属合法权益，加强退役军人服务保障体系建设，建立健全集中统一、职责清晰的退役军人管理保障体制。</w:t>
      </w:r>
    </w:p>
    <w:p>
      <w:pPr>
        <w:pStyle w:val="2"/>
        <w:keepNext w:val="0"/>
        <w:keepLines w:val="0"/>
        <w:pageBreakBefore w:val="0"/>
        <w:widowControl w:val="0"/>
        <w:numPr>
          <w:ilvl w:val="0"/>
          <w:numId w:val="0"/>
        </w:numPr>
        <w:suppressLineNumbers w:val="0"/>
        <w:suppressAutoHyphens w:val="0"/>
        <w:kinsoku/>
        <w:wordWrap/>
        <w:overflowPunct/>
        <w:topLinePunct w:val="0"/>
        <w:autoSpaceDE/>
        <w:autoSpaceDN w:val="0"/>
        <w:bidi w:val="0"/>
        <w:adjustRightInd w:val="0"/>
        <w:snapToGrid/>
        <w:spacing w:before="93" w:beforeAutospacing="0" w:after="0" w:afterAutospacing="0" w:line="600" w:lineRule="exact"/>
        <w:ind w:right="0" w:rightChars="0" w:firstLine="963" w:firstLineChars="300"/>
        <w:jc w:val="both"/>
        <w:outlineLvl w:val="9"/>
        <w:rPr>
          <w:rFonts w:hint="default" w:ascii="楷体_GB2312" w:eastAsia="楷体_GB2312" w:cs="楷体_GB2312"/>
          <w:b/>
          <w:caps w:val="0"/>
          <w:color w:val="auto"/>
          <w:sz w:val="32"/>
          <w:szCs w:val="32"/>
          <w:vertAlign w:val="baseline"/>
        </w:rPr>
      </w:pPr>
      <w:bookmarkStart w:id="24" w:name="_Toc1901327773_WPSOffice_Level2"/>
      <w:r>
        <w:rPr>
          <w:rFonts w:hint="eastAsia" w:ascii="楷体_GB2312" w:eastAsia="楷体_GB2312" w:cs="楷体_GB2312"/>
          <w:b/>
          <w:caps w:val="0"/>
          <w:color w:val="auto"/>
          <w:sz w:val="32"/>
          <w:szCs w:val="32"/>
          <w:vertAlign w:val="baseline"/>
          <w:lang w:val="en-US" w:eastAsia="zh-CN"/>
        </w:rPr>
        <w:t>(二）</w:t>
      </w:r>
      <w:r>
        <w:rPr>
          <w:rFonts w:hint="default" w:ascii="楷体_GB2312" w:eastAsia="楷体_GB2312" w:cs="楷体_GB2312"/>
          <w:b/>
          <w:caps w:val="0"/>
          <w:color w:val="auto"/>
          <w:sz w:val="32"/>
          <w:szCs w:val="32"/>
          <w:vertAlign w:val="baseline"/>
        </w:rPr>
        <w:t>市退役军人局2021年重点工作。</w:t>
      </w:r>
      <w:bookmarkEnd w:id="24"/>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60" w:lineRule="exact"/>
        <w:ind w:left="0" w:right="0" w:firstLine="640" w:firstLineChars="200"/>
        <w:jc w:val="both"/>
        <w:outlineLvl w:val="9"/>
        <w:rPr>
          <w:rFonts w:hint="default" w:ascii="Times New Roman" w:hAnsi="Times New Roman" w:eastAsia="仿宋_GB2312" w:cs="Times New Roman"/>
          <w:caps w:val="0"/>
          <w:snapToGrid w:val="0"/>
          <w:color w:val="auto"/>
          <w:sz w:val="32"/>
          <w:szCs w:val="32"/>
          <w:vertAlign w:val="baseline"/>
        </w:rPr>
      </w:pPr>
      <w:r>
        <w:rPr>
          <w:rFonts w:hint="default" w:ascii="Times New Roman" w:hAnsi="Times New Roman" w:eastAsia="仿宋_GB2312" w:cs="Times New Roman"/>
          <w:b w:val="0"/>
          <w:bCs w:val="0"/>
          <w:caps w:val="0"/>
          <w:color w:val="auto"/>
          <w:kern w:val="2"/>
          <w:sz w:val="32"/>
          <w:szCs w:val="32"/>
          <w:vertAlign w:val="baseline"/>
          <w:lang w:val="en-US" w:eastAsia="zh-CN" w:bidi="ar"/>
        </w:rPr>
        <w:t xml:space="preserve"> </w:t>
      </w:r>
      <w:r>
        <w:rPr>
          <w:rFonts w:hint="default" w:ascii="Times New Roman" w:hAnsi="Times New Roman" w:eastAsia="仿宋_GB2312" w:cs="Times New Roman"/>
          <w:b w:val="0"/>
          <w:bCs w:val="0"/>
          <w:caps w:val="0"/>
          <w:snapToGrid w:val="0"/>
          <w:color w:val="auto"/>
          <w:kern w:val="2"/>
          <w:sz w:val="32"/>
          <w:szCs w:val="32"/>
          <w:vertAlign w:val="baseline"/>
          <w:lang w:val="en-US" w:eastAsia="zh-CN" w:bidi="ar"/>
        </w:rPr>
        <w:t>2021</w:t>
      </w:r>
      <w:r>
        <w:rPr>
          <w:rFonts w:hint="eastAsia" w:ascii="Times New Roman" w:hAnsi="Calibri" w:eastAsia="仿宋_GB2312" w:cs="仿宋_GB2312"/>
          <w:b w:val="0"/>
          <w:bCs w:val="0"/>
          <w:caps w:val="0"/>
          <w:snapToGrid w:val="0"/>
          <w:color w:val="auto"/>
          <w:kern w:val="2"/>
          <w:sz w:val="32"/>
          <w:szCs w:val="32"/>
          <w:vertAlign w:val="baseline"/>
          <w:lang w:val="en-US" w:eastAsia="zh-CN" w:bidi="ar"/>
        </w:rPr>
        <w:t>年，市退役军人局将以认真编制《攀枝花市退役军人服务体系规范化建设“十四五”规划》为着力点，扎实推进退役军人事务领域治理体系和治理能力现代化建设。</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60" w:lineRule="exact"/>
        <w:ind w:left="0" w:right="0" w:firstLine="640" w:firstLineChars="200"/>
        <w:jc w:val="both"/>
        <w:outlineLvl w:val="9"/>
        <w:rPr>
          <w:rFonts w:hint="default" w:ascii="Times New Roman" w:hAnsi="Times New Roman" w:eastAsia="仿宋_GB2312" w:cs="Times New Roman"/>
          <w:caps w:val="0"/>
          <w:snapToGrid w:val="0"/>
          <w:color w:val="auto"/>
          <w:sz w:val="32"/>
          <w:szCs w:val="32"/>
          <w:vertAlign w:val="baseline"/>
        </w:rPr>
      </w:pPr>
      <w:r>
        <w:rPr>
          <w:rFonts w:hint="default" w:ascii="Times New Roman" w:hAnsi="Times New Roman" w:eastAsia="仿宋_GB2312" w:cs="Times New Roman"/>
          <w:b w:val="0"/>
          <w:bCs w:val="0"/>
          <w:caps w:val="0"/>
          <w:snapToGrid w:val="0"/>
          <w:color w:val="auto"/>
          <w:kern w:val="2"/>
          <w:sz w:val="32"/>
          <w:szCs w:val="32"/>
          <w:vertAlign w:val="baseline"/>
          <w:lang w:val="en-US" w:eastAsia="zh-CN" w:bidi="ar"/>
        </w:rPr>
        <w:t>1.</w:t>
      </w:r>
      <w:r>
        <w:rPr>
          <w:rFonts w:hint="eastAsia" w:ascii="Times New Roman" w:hAnsi="Calibri" w:eastAsia="仿宋_GB2312" w:cs="仿宋_GB2312"/>
          <w:b w:val="0"/>
          <w:bCs w:val="0"/>
          <w:caps w:val="0"/>
          <w:snapToGrid w:val="0"/>
          <w:color w:val="auto"/>
          <w:kern w:val="2"/>
          <w:sz w:val="32"/>
          <w:szCs w:val="32"/>
          <w:vertAlign w:val="baseline"/>
          <w:lang w:val="en-US" w:eastAsia="zh-CN" w:bidi="ar"/>
        </w:rPr>
        <w:t>认真学习深刻领会习近平新时代中国特色社会主义思想和党的十九届五中全会精神。</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60" w:lineRule="exact"/>
        <w:ind w:left="0" w:right="0" w:firstLine="640" w:firstLineChars="200"/>
        <w:jc w:val="both"/>
        <w:outlineLvl w:val="9"/>
        <w:rPr>
          <w:rFonts w:hint="default" w:ascii="Times New Roman" w:hAnsi="Times New Roman" w:eastAsia="仿宋_GB2312" w:cs="Times New Roman"/>
          <w:caps w:val="0"/>
          <w:color w:val="auto"/>
          <w:sz w:val="32"/>
          <w:szCs w:val="32"/>
          <w:vertAlign w:val="baseline"/>
        </w:rPr>
      </w:pPr>
      <w:r>
        <w:rPr>
          <w:rFonts w:hint="eastAsia" w:ascii="Times New Roman" w:hAnsi="Calibri" w:eastAsia="仿宋_GB2312" w:cs="仿宋_GB2312"/>
          <w:b w:val="0"/>
          <w:bCs w:val="0"/>
          <w:caps w:val="0"/>
          <w:color w:val="auto"/>
          <w:kern w:val="2"/>
          <w:sz w:val="32"/>
          <w:szCs w:val="32"/>
          <w:vertAlign w:val="baseline"/>
          <w:lang w:val="en-US" w:eastAsia="zh-CN" w:bidi="ar"/>
        </w:rPr>
        <w:t>进一步提高政治站位，树牢“四个意识”，坚定“四个自信”，做到“两个维护”，自觉在思想上政治上行动上同以习近平同志为核心的党中央保持高度一致。坚持正确政治方向，深入学习贯彻习近平新时代中国特色社会主义思想，全面落实习近平总书记关于退役军人工作重要论述精神。坚决落实市委、市政府和上级退役军人事务机关各项工作部署，强化政治属性、着力党建引领，体现军队特色，践行使命担当。</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60" w:lineRule="exact"/>
        <w:ind w:left="0" w:right="0" w:firstLine="640" w:firstLineChars="200"/>
        <w:jc w:val="both"/>
        <w:outlineLvl w:val="9"/>
        <w:rPr>
          <w:rFonts w:hint="default" w:ascii="Times New Roman" w:hAnsi="Times New Roman" w:eastAsia="仿宋_GB2312" w:cs="Times New Roman"/>
          <w:caps w:val="0"/>
          <w:snapToGrid w:val="0"/>
          <w:color w:val="auto"/>
          <w:sz w:val="32"/>
          <w:szCs w:val="32"/>
          <w:vertAlign w:val="baseline"/>
        </w:rPr>
      </w:pPr>
      <w:r>
        <w:rPr>
          <w:rFonts w:hint="default" w:ascii="Times New Roman" w:hAnsi="Times New Roman" w:eastAsia="仿宋_GB2312" w:cs="Times New Roman"/>
          <w:b w:val="0"/>
          <w:bCs w:val="0"/>
          <w:caps w:val="0"/>
          <w:snapToGrid w:val="0"/>
          <w:color w:val="auto"/>
          <w:kern w:val="2"/>
          <w:sz w:val="32"/>
          <w:szCs w:val="32"/>
          <w:vertAlign w:val="baseline"/>
          <w:lang w:val="en-US" w:eastAsia="zh-CN" w:bidi="ar"/>
        </w:rPr>
        <w:t>2.</w:t>
      </w:r>
      <w:r>
        <w:rPr>
          <w:rFonts w:hint="eastAsia" w:ascii="Times New Roman" w:hAnsi="Calibri" w:eastAsia="仿宋_GB2312" w:cs="仿宋_GB2312"/>
          <w:b w:val="0"/>
          <w:bCs w:val="0"/>
          <w:caps w:val="0"/>
          <w:snapToGrid w:val="0"/>
          <w:color w:val="auto"/>
          <w:kern w:val="2"/>
          <w:sz w:val="32"/>
          <w:szCs w:val="32"/>
          <w:vertAlign w:val="baseline"/>
          <w:lang w:val="en-US" w:eastAsia="zh-CN" w:bidi="ar"/>
        </w:rPr>
        <w:t>健全完善管理服务保障体系。</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60" w:lineRule="exact"/>
        <w:ind w:left="0" w:right="0" w:firstLine="640" w:firstLineChars="200"/>
        <w:jc w:val="both"/>
        <w:outlineLvl w:val="9"/>
        <w:rPr>
          <w:rFonts w:hint="default" w:ascii="Times New Roman" w:hAnsi="Times New Roman" w:eastAsia="仿宋_GB2312" w:cs="Times New Roman"/>
          <w:caps w:val="0"/>
          <w:color w:val="auto"/>
          <w:sz w:val="32"/>
          <w:szCs w:val="32"/>
          <w:vertAlign w:val="baseline"/>
        </w:rPr>
      </w:pPr>
      <w:r>
        <w:rPr>
          <w:rFonts w:hint="eastAsia" w:ascii="Times New Roman" w:hAnsi="Calibri" w:eastAsia="仿宋_GB2312" w:cs="仿宋_GB2312"/>
          <w:b w:val="0"/>
          <w:bCs w:val="0"/>
          <w:caps w:val="0"/>
          <w:color w:val="auto"/>
          <w:kern w:val="2"/>
          <w:sz w:val="32"/>
          <w:szCs w:val="32"/>
          <w:vertAlign w:val="baseline"/>
          <w:lang w:val="en-US" w:eastAsia="zh-CN" w:bidi="ar"/>
        </w:rPr>
        <w:t>严格落实</w:t>
      </w:r>
      <w:r>
        <w:rPr>
          <w:rFonts w:hint="default" w:ascii="Times New Roman" w:hAnsi="Times New Roman" w:eastAsia="仿宋_GB2312" w:cs="仿宋_GB2312"/>
          <w:b w:val="0"/>
          <w:bCs w:val="0"/>
          <w:caps w:val="0"/>
          <w:color w:val="auto"/>
          <w:kern w:val="2"/>
          <w:sz w:val="32"/>
          <w:szCs w:val="32"/>
          <w:vertAlign w:val="baseline"/>
          <w:lang w:val="en-US" w:eastAsia="zh-CN" w:bidi="ar"/>
        </w:rPr>
        <w:t xml:space="preserve"> </w:t>
      </w:r>
      <w:r>
        <w:rPr>
          <w:rFonts w:hint="eastAsia" w:ascii="Times New Roman" w:hAnsi="Calibri" w:eastAsia="仿宋_GB2312" w:cs="仿宋_GB2312"/>
          <w:b w:val="0"/>
          <w:bCs w:val="0"/>
          <w:caps w:val="0"/>
          <w:color w:val="auto"/>
          <w:kern w:val="2"/>
          <w:sz w:val="32"/>
          <w:szCs w:val="32"/>
          <w:vertAlign w:val="baseline"/>
          <w:lang w:val="en-US" w:eastAsia="zh-CN" w:bidi="ar"/>
        </w:rPr>
        <w:t>“有机构、有编制、有人员、有经费、有保障”，加快完善市县乡村退役军人服务中心（站），确保服务保障体系发挥作用。管好用好并开发好光荣院、军休所、军供站等服务保障资源，进一步盘活资产，聚焦主责主业，不断增强服务保障能力。积极开展《兵役法》、《国防法》、《退役士兵安置条例》、《伤残抚恤管理办法》等法规和政策普及宣传，继续落实关于《加强新时代退役军人工作的意见》、《退役军人工作政策制度改革方案》等政策。</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60" w:lineRule="exact"/>
        <w:ind w:left="0" w:right="0" w:firstLine="640" w:firstLineChars="200"/>
        <w:jc w:val="both"/>
        <w:outlineLvl w:val="9"/>
        <w:rPr>
          <w:rFonts w:hint="default" w:ascii="Times New Roman" w:hAnsi="Times New Roman" w:eastAsia="仿宋_GB2312" w:cs="Times New Roman"/>
          <w:caps w:val="0"/>
          <w:color w:val="auto"/>
          <w:sz w:val="32"/>
          <w:szCs w:val="32"/>
          <w:vertAlign w:val="baseline"/>
        </w:rPr>
      </w:pPr>
      <w:r>
        <w:rPr>
          <w:rFonts w:hint="default" w:ascii="Times New Roman" w:hAnsi="Times New Roman" w:eastAsia="仿宋_GB2312" w:cs="Times New Roman"/>
          <w:b w:val="0"/>
          <w:bCs w:val="0"/>
          <w:caps w:val="0"/>
          <w:color w:val="auto"/>
          <w:kern w:val="2"/>
          <w:sz w:val="32"/>
          <w:szCs w:val="32"/>
          <w:vertAlign w:val="baseline"/>
          <w:lang w:val="en-US" w:eastAsia="zh-CN" w:bidi="ar"/>
        </w:rPr>
        <w:t>3.</w:t>
      </w:r>
      <w:r>
        <w:rPr>
          <w:rFonts w:hint="eastAsia" w:ascii="Times New Roman" w:hAnsi="Calibri" w:eastAsia="仿宋_GB2312" w:cs="仿宋_GB2312"/>
          <w:b w:val="0"/>
          <w:bCs w:val="0"/>
          <w:caps w:val="0"/>
          <w:color w:val="auto"/>
          <w:kern w:val="2"/>
          <w:sz w:val="32"/>
          <w:szCs w:val="32"/>
          <w:vertAlign w:val="baseline"/>
          <w:lang w:val="en-US" w:eastAsia="zh-CN" w:bidi="ar"/>
        </w:rPr>
        <w:t>加强思想政治工作。</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60" w:lineRule="exact"/>
        <w:ind w:left="0" w:right="0" w:firstLine="640" w:firstLineChars="200"/>
        <w:jc w:val="both"/>
        <w:outlineLvl w:val="9"/>
        <w:rPr>
          <w:rFonts w:hint="default" w:ascii="Times New Roman" w:hAnsi="Times New Roman" w:eastAsia="仿宋_GB2312" w:cs="Times New Roman"/>
          <w:caps w:val="0"/>
          <w:color w:val="auto"/>
          <w:sz w:val="32"/>
          <w:szCs w:val="32"/>
          <w:vertAlign w:val="baseline"/>
        </w:rPr>
      </w:pPr>
      <w:r>
        <w:rPr>
          <w:rFonts w:hint="eastAsia" w:ascii="Times New Roman" w:hAnsi="Calibri" w:eastAsia="仿宋_GB2312" w:cs="仿宋_GB2312"/>
          <w:b w:val="0"/>
          <w:bCs w:val="0"/>
          <w:caps w:val="0"/>
          <w:color w:val="auto"/>
          <w:kern w:val="2"/>
          <w:sz w:val="32"/>
          <w:szCs w:val="32"/>
          <w:vertAlign w:val="baseline"/>
          <w:lang w:val="en-US" w:eastAsia="zh-CN" w:bidi="ar"/>
        </w:rPr>
        <w:t>因地制宜，切实提高党建工作针对性有效性，引导退役军人党员积极参加军民融合“服务三五家普通群众，带动十几人爱党报国”活动，发挥先锋模范作用。认真组织开展以“不忘入伍初心，矢志爱党报国”为主题的最美退役军人和优秀退役军人事务工作者选树活动。</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60" w:lineRule="exact"/>
        <w:ind w:left="0" w:right="0" w:firstLine="640" w:firstLineChars="200"/>
        <w:jc w:val="both"/>
        <w:outlineLvl w:val="9"/>
        <w:rPr>
          <w:rFonts w:hint="default" w:ascii="Times New Roman" w:hAnsi="Times New Roman" w:eastAsia="仿宋_GB2312" w:cs="Times New Roman"/>
          <w:caps w:val="0"/>
          <w:color w:val="auto"/>
          <w:sz w:val="32"/>
          <w:szCs w:val="32"/>
          <w:vertAlign w:val="baseline"/>
        </w:rPr>
      </w:pPr>
      <w:r>
        <w:rPr>
          <w:rFonts w:hint="default" w:ascii="Times New Roman" w:hAnsi="Times New Roman" w:eastAsia="仿宋_GB2312" w:cs="Times New Roman"/>
          <w:b w:val="0"/>
          <w:bCs w:val="0"/>
          <w:caps w:val="0"/>
          <w:color w:val="auto"/>
          <w:kern w:val="2"/>
          <w:sz w:val="32"/>
          <w:szCs w:val="32"/>
          <w:vertAlign w:val="baseline"/>
          <w:lang w:val="en-US" w:eastAsia="zh-CN" w:bidi="ar"/>
        </w:rPr>
        <w:t>4.</w:t>
      </w:r>
      <w:r>
        <w:rPr>
          <w:rFonts w:hint="eastAsia" w:ascii="Times New Roman" w:hAnsi="Calibri" w:eastAsia="仿宋_GB2312" w:cs="仿宋_GB2312"/>
          <w:b w:val="0"/>
          <w:bCs w:val="0"/>
          <w:caps w:val="0"/>
          <w:color w:val="auto"/>
          <w:kern w:val="2"/>
          <w:sz w:val="32"/>
          <w:szCs w:val="32"/>
          <w:vertAlign w:val="baseline"/>
          <w:lang w:val="en-US" w:eastAsia="zh-CN" w:bidi="ar"/>
        </w:rPr>
        <w:t>大力促进就业创业。</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60" w:lineRule="exact"/>
        <w:ind w:left="0" w:right="0" w:firstLine="640" w:firstLineChars="200"/>
        <w:jc w:val="both"/>
        <w:outlineLvl w:val="9"/>
        <w:rPr>
          <w:rFonts w:hint="default" w:ascii="Times New Roman" w:hAnsi="Times New Roman" w:eastAsia="仿宋_GB2312" w:cs="Times New Roman"/>
          <w:caps w:val="0"/>
          <w:color w:val="auto"/>
          <w:sz w:val="32"/>
          <w:szCs w:val="32"/>
          <w:vertAlign w:val="baseline"/>
        </w:rPr>
      </w:pPr>
      <w:r>
        <w:rPr>
          <w:rFonts w:hint="eastAsia" w:ascii="Times New Roman" w:hAnsi="Calibri" w:eastAsia="仿宋_GB2312" w:cs="仿宋_GB2312"/>
          <w:b w:val="0"/>
          <w:bCs w:val="0"/>
          <w:caps w:val="0"/>
          <w:color w:val="auto"/>
          <w:kern w:val="2"/>
          <w:sz w:val="32"/>
          <w:szCs w:val="32"/>
          <w:vertAlign w:val="baseline"/>
          <w:lang w:val="en-US" w:eastAsia="zh-CN" w:bidi="ar"/>
        </w:rPr>
        <w:t>搭建退役军人就业创业网络和实体平台，分类别开展退役军人就业推荐和招聘活动。推进退役军人充实城乡基层队伍，实现促进就业与巩固基层力量有机衔接。落实退役军人招录倾斜政策，实施退役军人回引工程。开展创业培训，推动建立退役军人创业指导专家团队和创业基地（园区），鼓励社会资本设立退役军人创业基金。坚持就业导向，推动构建退役前技能储备培训和退役后适应性培训、职业技能培训、学历教育、职业指导等多层次多形式教育培训工作机制。</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60" w:lineRule="exact"/>
        <w:ind w:left="0" w:right="0" w:firstLine="640" w:firstLineChars="200"/>
        <w:jc w:val="both"/>
        <w:outlineLvl w:val="9"/>
        <w:rPr>
          <w:rFonts w:hint="default" w:ascii="Times New Roman" w:hAnsi="Times New Roman" w:eastAsia="仿宋_GB2312" w:cs="Times New Roman"/>
          <w:caps w:val="0"/>
          <w:color w:val="auto"/>
          <w:sz w:val="32"/>
          <w:szCs w:val="32"/>
          <w:vertAlign w:val="baseline"/>
        </w:rPr>
      </w:pPr>
      <w:r>
        <w:rPr>
          <w:rFonts w:hint="default" w:ascii="Times New Roman" w:hAnsi="Times New Roman" w:eastAsia="仿宋_GB2312" w:cs="Times New Roman"/>
          <w:b w:val="0"/>
          <w:bCs w:val="0"/>
          <w:caps w:val="0"/>
          <w:color w:val="auto"/>
          <w:kern w:val="2"/>
          <w:sz w:val="32"/>
          <w:szCs w:val="32"/>
          <w:vertAlign w:val="baseline"/>
          <w:lang w:val="en-US" w:eastAsia="zh-CN" w:bidi="ar"/>
        </w:rPr>
        <w:t>5.</w:t>
      </w:r>
      <w:r>
        <w:rPr>
          <w:rFonts w:hint="eastAsia" w:ascii="Times New Roman" w:hAnsi="Calibri" w:eastAsia="仿宋_GB2312" w:cs="仿宋_GB2312"/>
          <w:b w:val="0"/>
          <w:bCs w:val="0"/>
          <w:caps w:val="0"/>
          <w:color w:val="auto"/>
          <w:kern w:val="2"/>
          <w:sz w:val="32"/>
          <w:szCs w:val="32"/>
          <w:vertAlign w:val="baseline"/>
          <w:lang w:val="en-US" w:eastAsia="zh-CN" w:bidi="ar"/>
        </w:rPr>
        <w:t>提高移交安置质量。</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60" w:lineRule="exact"/>
        <w:ind w:left="0" w:right="0" w:firstLine="640" w:firstLineChars="200"/>
        <w:jc w:val="both"/>
        <w:outlineLvl w:val="9"/>
        <w:rPr>
          <w:rFonts w:hint="default" w:ascii="Times New Roman" w:hAnsi="Times New Roman" w:eastAsia="仿宋_GB2312" w:cs="Times New Roman"/>
          <w:caps w:val="0"/>
          <w:color w:val="auto"/>
          <w:sz w:val="32"/>
          <w:szCs w:val="32"/>
          <w:vertAlign w:val="baseline"/>
        </w:rPr>
      </w:pPr>
      <w:r>
        <w:rPr>
          <w:rFonts w:hint="eastAsia" w:ascii="Times New Roman" w:hAnsi="Calibri" w:eastAsia="仿宋_GB2312" w:cs="仿宋_GB2312"/>
          <w:b w:val="0"/>
          <w:bCs w:val="0"/>
          <w:caps w:val="0"/>
          <w:color w:val="auto"/>
          <w:kern w:val="2"/>
          <w:sz w:val="32"/>
          <w:szCs w:val="32"/>
          <w:vertAlign w:val="baseline"/>
          <w:lang w:val="en-US" w:eastAsia="zh-CN" w:bidi="ar"/>
        </w:rPr>
        <w:t>强化政府安排工作退役军人安置编制保障，增强政策刚性，完善安置与贡献挂钩的工作机制，落实退役士兵服役表现量化评分办法，探索建立政府安排工作退役军人“直通车”式安置方式，安置工作实现“无缝连接”。</w:t>
      </w:r>
      <w:r>
        <w:rPr>
          <w:rFonts w:hint="default" w:ascii="Times New Roman" w:hAnsi="Times New Roman" w:eastAsia="仿宋_GB2312" w:cs="仿宋_GB2312"/>
          <w:b w:val="0"/>
          <w:bCs w:val="0"/>
          <w:caps w:val="0"/>
          <w:color w:val="auto"/>
          <w:kern w:val="2"/>
          <w:sz w:val="32"/>
          <w:szCs w:val="32"/>
          <w:vertAlign w:val="baseline"/>
          <w:lang w:val="en-US" w:eastAsia="zh-CN" w:bidi="ar"/>
        </w:rPr>
        <w:t xml:space="preserve"> </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60" w:lineRule="exact"/>
        <w:ind w:left="0" w:right="0" w:firstLine="640" w:firstLineChars="200"/>
        <w:jc w:val="both"/>
        <w:outlineLvl w:val="9"/>
        <w:rPr>
          <w:rFonts w:hint="default" w:ascii="Times New Roman" w:hAnsi="Times New Roman" w:eastAsia="仿宋_GB2312" w:cs="Times New Roman"/>
          <w:caps w:val="0"/>
          <w:color w:val="auto"/>
          <w:sz w:val="32"/>
          <w:szCs w:val="32"/>
          <w:vertAlign w:val="baseline"/>
        </w:rPr>
      </w:pPr>
      <w:r>
        <w:rPr>
          <w:rFonts w:hint="default" w:ascii="Times New Roman" w:hAnsi="Times New Roman" w:eastAsia="仿宋_GB2312" w:cs="Times New Roman"/>
          <w:b w:val="0"/>
          <w:bCs w:val="0"/>
          <w:caps w:val="0"/>
          <w:color w:val="auto"/>
          <w:kern w:val="2"/>
          <w:sz w:val="32"/>
          <w:szCs w:val="32"/>
          <w:vertAlign w:val="baseline"/>
          <w:lang w:val="en-US" w:eastAsia="zh-CN" w:bidi="ar"/>
        </w:rPr>
        <w:t>6.</w:t>
      </w:r>
      <w:r>
        <w:rPr>
          <w:rFonts w:hint="eastAsia" w:ascii="Times New Roman" w:hAnsi="Calibri" w:eastAsia="仿宋_GB2312" w:cs="仿宋_GB2312"/>
          <w:b w:val="0"/>
          <w:bCs w:val="0"/>
          <w:caps w:val="0"/>
          <w:color w:val="auto"/>
          <w:kern w:val="2"/>
          <w:sz w:val="32"/>
          <w:szCs w:val="32"/>
          <w:vertAlign w:val="baseline"/>
          <w:lang w:val="en-US" w:eastAsia="zh-CN" w:bidi="ar"/>
        </w:rPr>
        <w:t>抓好优待抚恤工作。</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60" w:lineRule="exact"/>
        <w:ind w:left="0" w:right="0" w:firstLine="640" w:firstLineChars="200"/>
        <w:jc w:val="both"/>
        <w:outlineLvl w:val="9"/>
        <w:rPr>
          <w:rFonts w:hint="default" w:ascii="Times New Roman" w:hAnsi="Times New Roman" w:eastAsia="仿宋_GB2312" w:cs="Times New Roman"/>
          <w:caps w:val="0"/>
          <w:color w:val="auto"/>
          <w:sz w:val="32"/>
          <w:szCs w:val="32"/>
          <w:vertAlign w:val="baseline"/>
        </w:rPr>
      </w:pPr>
      <w:r>
        <w:rPr>
          <w:rFonts w:hint="eastAsia" w:ascii="Times New Roman" w:hAnsi="Calibri" w:eastAsia="仿宋_GB2312" w:cs="仿宋_GB2312"/>
          <w:b w:val="0"/>
          <w:bCs w:val="0"/>
          <w:caps w:val="0"/>
          <w:color w:val="auto"/>
          <w:kern w:val="2"/>
          <w:sz w:val="32"/>
          <w:szCs w:val="32"/>
          <w:vertAlign w:val="baseline"/>
          <w:lang w:val="en-US" w:eastAsia="zh-CN" w:bidi="ar"/>
        </w:rPr>
        <w:t>探索建立政府主导、多方参与的社会优待工作机制，鼓励和引导社会力量参与退役军人工作，形成服务保障整体合力。建立体现尊重的社会优待体系，在养老、医疗、住房、教育、文化、交通等公共服务方面，给予退役军人和其他优抚对象适当的优先优惠。</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60" w:lineRule="exact"/>
        <w:ind w:left="0" w:right="0" w:firstLine="640" w:firstLineChars="200"/>
        <w:jc w:val="both"/>
        <w:outlineLvl w:val="9"/>
        <w:rPr>
          <w:rFonts w:hint="default" w:ascii="Times New Roman" w:hAnsi="Times New Roman" w:eastAsia="仿宋_GB2312" w:cs="Times New Roman"/>
          <w:caps w:val="0"/>
          <w:color w:val="auto"/>
          <w:sz w:val="32"/>
          <w:szCs w:val="32"/>
          <w:vertAlign w:val="baseline"/>
        </w:rPr>
      </w:pPr>
      <w:r>
        <w:rPr>
          <w:rFonts w:hint="default" w:ascii="Times New Roman" w:hAnsi="Times New Roman" w:eastAsia="仿宋_GB2312" w:cs="Times New Roman"/>
          <w:b w:val="0"/>
          <w:bCs w:val="0"/>
          <w:caps w:val="0"/>
          <w:color w:val="auto"/>
          <w:kern w:val="2"/>
          <w:sz w:val="32"/>
          <w:szCs w:val="32"/>
          <w:vertAlign w:val="baseline"/>
          <w:lang w:val="en-US" w:eastAsia="zh-CN" w:bidi="ar"/>
        </w:rPr>
        <w:t>7.</w:t>
      </w:r>
      <w:r>
        <w:rPr>
          <w:rFonts w:hint="eastAsia" w:ascii="Times New Roman" w:hAnsi="Calibri" w:eastAsia="仿宋_GB2312" w:cs="仿宋_GB2312"/>
          <w:b w:val="0"/>
          <w:bCs w:val="0"/>
          <w:caps w:val="0"/>
          <w:color w:val="auto"/>
          <w:kern w:val="2"/>
          <w:sz w:val="32"/>
          <w:szCs w:val="32"/>
          <w:vertAlign w:val="baseline"/>
          <w:lang w:val="en-US" w:eastAsia="zh-CN" w:bidi="ar"/>
        </w:rPr>
        <w:t>开展好褒扬纪念工作。</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60" w:lineRule="exact"/>
        <w:ind w:left="0" w:right="0" w:firstLine="640" w:firstLineChars="200"/>
        <w:jc w:val="both"/>
        <w:outlineLvl w:val="9"/>
        <w:rPr>
          <w:rFonts w:hint="default" w:ascii="Times New Roman" w:hAnsi="Times New Roman" w:eastAsia="仿宋_GB2312" w:cs="Times New Roman"/>
          <w:caps w:val="0"/>
          <w:color w:val="auto"/>
          <w:sz w:val="32"/>
          <w:szCs w:val="32"/>
          <w:vertAlign w:val="baseline"/>
        </w:rPr>
      </w:pPr>
      <w:r>
        <w:rPr>
          <w:rFonts w:hint="eastAsia" w:ascii="Times New Roman" w:hAnsi="Calibri" w:eastAsia="仿宋_GB2312" w:cs="仿宋_GB2312"/>
          <w:b w:val="0"/>
          <w:bCs w:val="0"/>
          <w:caps w:val="0"/>
          <w:color w:val="auto"/>
          <w:kern w:val="2"/>
          <w:sz w:val="32"/>
          <w:szCs w:val="32"/>
          <w:vertAlign w:val="baseline"/>
          <w:lang w:val="en-US" w:eastAsia="zh-CN" w:bidi="ar"/>
        </w:rPr>
        <w:t>探索建立英烈保护部门联动机制，统筹推进城乡英烈墙建设，广泛宣扬英烈精神和英雄事迹。做好清明节烈士祭扫和烈士公祭日活动。</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60" w:lineRule="exact"/>
        <w:ind w:left="0" w:right="0" w:firstLine="640" w:firstLineChars="200"/>
        <w:jc w:val="both"/>
        <w:outlineLvl w:val="9"/>
        <w:rPr>
          <w:rFonts w:hint="default" w:ascii="Times New Roman" w:hAnsi="Times New Roman" w:eastAsia="仿宋_GB2312" w:cs="Times New Roman"/>
          <w:caps w:val="0"/>
          <w:color w:val="auto"/>
          <w:sz w:val="32"/>
          <w:szCs w:val="32"/>
          <w:vertAlign w:val="baseline"/>
        </w:rPr>
      </w:pPr>
      <w:r>
        <w:rPr>
          <w:rFonts w:hint="default" w:ascii="Times New Roman" w:hAnsi="Times New Roman" w:eastAsia="仿宋_GB2312" w:cs="Times New Roman"/>
          <w:b w:val="0"/>
          <w:bCs w:val="0"/>
          <w:caps w:val="0"/>
          <w:color w:val="auto"/>
          <w:kern w:val="2"/>
          <w:sz w:val="32"/>
          <w:szCs w:val="32"/>
          <w:vertAlign w:val="baseline"/>
          <w:lang w:val="en-US" w:eastAsia="zh-CN" w:bidi="ar"/>
        </w:rPr>
        <w:t>8.</w:t>
      </w:r>
      <w:r>
        <w:rPr>
          <w:rFonts w:hint="eastAsia" w:ascii="Times New Roman" w:hAnsi="Calibri" w:eastAsia="仿宋_GB2312" w:cs="仿宋_GB2312"/>
          <w:b w:val="0"/>
          <w:bCs w:val="0"/>
          <w:caps w:val="0"/>
          <w:color w:val="auto"/>
          <w:kern w:val="2"/>
          <w:sz w:val="32"/>
          <w:szCs w:val="32"/>
          <w:vertAlign w:val="baseline"/>
          <w:lang w:val="en-US" w:eastAsia="zh-CN" w:bidi="ar"/>
        </w:rPr>
        <w:t>加快数字化信息化智能化建设。</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60" w:lineRule="exact"/>
        <w:ind w:left="0" w:right="0" w:firstLine="640" w:firstLineChars="200"/>
        <w:jc w:val="both"/>
        <w:outlineLvl w:val="9"/>
        <w:rPr>
          <w:rFonts w:hint="default" w:ascii="Times New Roman" w:hAnsi="Times New Roman" w:eastAsia="仿宋_GB2312" w:cs="Times New Roman"/>
          <w:caps w:val="0"/>
          <w:color w:val="auto"/>
          <w:sz w:val="32"/>
          <w:szCs w:val="32"/>
          <w:vertAlign w:val="baseline"/>
        </w:rPr>
      </w:pPr>
      <w:r>
        <w:rPr>
          <w:rFonts w:hint="eastAsia" w:ascii="Times New Roman" w:hAnsi="Calibri" w:eastAsia="仿宋_GB2312" w:cs="仿宋_GB2312"/>
          <w:b w:val="0"/>
          <w:bCs w:val="0"/>
          <w:caps w:val="0"/>
          <w:color w:val="auto"/>
          <w:kern w:val="2"/>
          <w:sz w:val="32"/>
          <w:szCs w:val="32"/>
          <w:vertAlign w:val="baseline"/>
          <w:lang w:val="en-US" w:eastAsia="zh-CN" w:bidi="ar"/>
        </w:rPr>
        <w:t>加快全市退役军人综合信息数据库建设，探索建立退役军人数字化信息化智能化管理平台，探索构建“互联网</w:t>
      </w:r>
      <w:r>
        <w:rPr>
          <w:rFonts w:hint="default" w:ascii="Times New Roman" w:hAnsi="Times New Roman" w:eastAsia="仿宋_GB2312" w:cs="仿宋_GB2312"/>
          <w:b w:val="0"/>
          <w:bCs w:val="0"/>
          <w:caps w:val="0"/>
          <w:color w:val="auto"/>
          <w:kern w:val="2"/>
          <w:sz w:val="32"/>
          <w:szCs w:val="32"/>
          <w:vertAlign w:val="baseline"/>
          <w:lang w:val="en-US" w:eastAsia="zh-CN" w:bidi="ar"/>
        </w:rPr>
        <w:t>+</w:t>
      </w:r>
      <w:r>
        <w:rPr>
          <w:rFonts w:hint="eastAsia" w:ascii="Times New Roman" w:hAnsi="Calibri" w:eastAsia="仿宋_GB2312" w:cs="仿宋_GB2312"/>
          <w:b w:val="0"/>
          <w:bCs w:val="0"/>
          <w:caps w:val="0"/>
          <w:color w:val="auto"/>
          <w:kern w:val="2"/>
          <w:sz w:val="32"/>
          <w:szCs w:val="32"/>
          <w:vertAlign w:val="baseline"/>
          <w:lang w:val="en-US" w:eastAsia="zh-CN" w:bidi="ar"/>
        </w:rPr>
        <w:t>退役军人服务”模式，提高服务管理工作的便捷性和精准度，信息化建设工作走在全省前列。</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60" w:lineRule="exact"/>
        <w:ind w:left="0" w:right="0" w:firstLine="640" w:firstLineChars="200"/>
        <w:jc w:val="both"/>
        <w:outlineLvl w:val="9"/>
        <w:rPr>
          <w:rFonts w:hint="default" w:ascii="Times New Roman" w:hAnsi="Times New Roman" w:eastAsia="仿宋_GB2312" w:cs="Times New Roman"/>
          <w:caps w:val="0"/>
          <w:color w:val="auto"/>
          <w:sz w:val="32"/>
          <w:szCs w:val="32"/>
          <w:vertAlign w:val="baseline"/>
        </w:rPr>
      </w:pPr>
      <w:r>
        <w:rPr>
          <w:rFonts w:hint="default" w:ascii="Times New Roman" w:hAnsi="Times New Roman" w:eastAsia="仿宋_GB2312" w:cs="Times New Roman"/>
          <w:b w:val="0"/>
          <w:bCs w:val="0"/>
          <w:caps w:val="0"/>
          <w:color w:val="auto"/>
          <w:kern w:val="2"/>
          <w:sz w:val="32"/>
          <w:szCs w:val="32"/>
          <w:vertAlign w:val="baseline"/>
          <w:lang w:val="en-US" w:eastAsia="zh-CN" w:bidi="ar"/>
        </w:rPr>
        <w:t>9.</w:t>
      </w:r>
      <w:r>
        <w:rPr>
          <w:rFonts w:hint="eastAsia" w:ascii="Times New Roman" w:hAnsi="Calibri" w:eastAsia="仿宋_GB2312" w:cs="仿宋_GB2312"/>
          <w:b w:val="0"/>
          <w:bCs w:val="0"/>
          <w:caps w:val="0"/>
          <w:color w:val="auto"/>
          <w:kern w:val="2"/>
          <w:sz w:val="32"/>
          <w:szCs w:val="32"/>
          <w:vertAlign w:val="baseline"/>
          <w:lang w:val="en-US" w:eastAsia="zh-CN" w:bidi="ar"/>
        </w:rPr>
        <w:t>做好权益维护工作。</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60" w:lineRule="exact"/>
        <w:ind w:left="0" w:right="0" w:firstLine="640" w:firstLineChars="200"/>
        <w:jc w:val="both"/>
        <w:outlineLvl w:val="9"/>
        <w:rPr>
          <w:rFonts w:hint="default" w:ascii="Times New Roman" w:hAnsi="Times New Roman" w:eastAsia="仿宋_GB2312" w:cs="Times New Roman"/>
          <w:caps w:val="0"/>
          <w:color w:val="auto"/>
          <w:sz w:val="32"/>
          <w:szCs w:val="32"/>
          <w:vertAlign w:val="baseline"/>
        </w:rPr>
      </w:pPr>
      <w:r>
        <w:rPr>
          <w:rFonts w:hint="eastAsia" w:ascii="Times New Roman" w:hAnsi="Calibri" w:eastAsia="仿宋_GB2312" w:cs="仿宋_GB2312"/>
          <w:b w:val="0"/>
          <w:bCs w:val="0"/>
          <w:caps w:val="0"/>
          <w:color w:val="auto"/>
          <w:kern w:val="2"/>
          <w:sz w:val="32"/>
          <w:szCs w:val="32"/>
          <w:vertAlign w:val="baseline"/>
          <w:lang w:val="en-US" w:eastAsia="zh-CN" w:bidi="ar"/>
        </w:rPr>
        <w:t>持续做好全市退役军人政策及落实情况清理，确保不发生越级访、进京访，坚决防止发生规模性集访。</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60" w:lineRule="exact"/>
        <w:ind w:left="0" w:right="0" w:firstLine="640" w:firstLineChars="200"/>
        <w:jc w:val="both"/>
        <w:outlineLvl w:val="9"/>
        <w:rPr>
          <w:rFonts w:hint="eastAsia" w:ascii="黑体" w:hAnsi="宋体" w:eastAsia="黑体" w:cs="黑体"/>
          <w:caps w:val="0"/>
          <w:color w:val="auto"/>
          <w:sz w:val="32"/>
          <w:szCs w:val="32"/>
          <w:vertAlign w:val="baseline"/>
        </w:rPr>
      </w:pPr>
      <w:bookmarkStart w:id="25" w:name="_Toc255643043_WPSOffice_Level1"/>
      <w:r>
        <w:rPr>
          <w:rFonts w:hint="eastAsia" w:ascii="黑体" w:hAnsi="宋体" w:eastAsia="黑体" w:cs="黑体"/>
          <w:b w:val="0"/>
          <w:bCs w:val="0"/>
          <w:caps w:val="0"/>
          <w:color w:val="auto"/>
          <w:kern w:val="2"/>
          <w:sz w:val="32"/>
          <w:szCs w:val="32"/>
          <w:vertAlign w:val="baseline"/>
          <w:lang w:val="en-US" w:eastAsia="zh-CN" w:bidi="ar"/>
        </w:rPr>
        <w:t>二、单位构成情况</w:t>
      </w:r>
      <w:bookmarkEnd w:id="25"/>
    </w:p>
    <w:p>
      <w:pPr>
        <w:keepNext w:val="0"/>
        <w:keepLines w:val="0"/>
        <w:pageBreakBefore w:val="0"/>
        <w:widowControl w:val="0"/>
        <w:suppressLineNumbers w:val="0"/>
        <w:suppressAutoHyphens w:val="0"/>
        <w:kinsoku/>
        <w:wordWrap/>
        <w:overflowPunct/>
        <w:topLinePunct w:val="0"/>
        <w:autoSpaceDE/>
        <w:autoSpaceDN w:val="0"/>
        <w:bidi w:val="0"/>
        <w:adjustRightInd/>
        <w:snapToGrid w:val="0"/>
        <w:spacing w:before="0" w:beforeAutospacing="0" w:after="0" w:afterAutospacing="0" w:line="520" w:lineRule="exact"/>
        <w:ind w:left="0" w:right="0" w:firstLine="640" w:firstLineChars="200"/>
        <w:jc w:val="both"/>
        <w:outlineLvl w:val="9"/>
        <w:rPr>
          <w:rFonts w:hint="eastAsia" w:ascii="仿宋_GB2312" w:eastAsia="仿宋_GB2312" w:cs="仿宋_GB2312"/>
          <w:caps w:val="0"/>
          <w:color w:val="auto"/>
          <w:sz w:val="32"/>
          <w:szCs w:val="32"/>
          <w:vertAlign w:val="baseline"/>
        </w:rPr>
      </w:pPr>
      <w:r>
        <w:rPr>
          <w:rFonts w:hint="eastAsia" w:ascii="仿宋_GB2312" w:hAnsi="Calibri" w:eastAsia="仿宋_GB2312" w:cs="仿宋_GB2312"/>
          <w:b w:val="0"/>
          <w:bCs w:val="0"/>
          <w:caps w:val="0"/>
          <w:color w:val="auto"/>
          <w:kern w:val="2"/>
          <w:sz w:val="32"/>
          <w:szCs w:val="32"/>
          <w:vertAlign w:val="baseline"/>
          <w:lang w:val="en-US" w:eastAsia="zh-CN" w:bidi="ar"/>
        </w:rPr>
        <w:t>市退役军人局下属非独立核算单位0个，其中行政单位0个，参照公务员法管理的事业单位0个，其他事业单位0个。</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600" w:lineRule="exact"/>
        <w:ind w:left="0" w:right="0" w:firstLine="640" w:firstLineChars="200"/>
        <w:jc w:val="both"/>
        <w:outlineLvl w:val="9"/>
        <w:rPr>
          <w:rFonts w:hint="eastAsia" w:ascii="黑体" w:hAnsi="宋体" w:eastAsia="黑体" w:cs="黑体"/>
          <w:caps w:val="0"/>
          <w:color w:val="auto"/>
          <w:sz w:val="32"/>
          <w:szCs w:val="32"/>
          <w:vertAlign w:val="baseline"/>
        </w:rPr>
      </w:pPr>
      <w:bookmarkStart w:id="26" w:name="_Toc1567088443_WPSOffice_Level1"/>
      <w:r>
        <w:rPr>
          <w:rFonts w:hint="eastAsia" w:ascii="黑体" w:hAnsi="宋体" w:eastAsia="黑体" w:cs="黑体"/>
          <w:b w:val="0"/>
          <w:bCs w:val="0"/>
          <w:caps w:val="0"/>
          <w:color w:val="auto"/>
          <w:kern w:val="2"/>
          <w:sz w:val="32"/>
          <w:szCs w:val="32"/>
          <w:vertAlign w:val="baseline"/>
          <w:lang w:val="en-US" w:eastAsia="zh-CN" w:bidi="ar"/>
        </w:rPr>
        <w:t>三、收支预算情况说明</w:t>
      </w:r>
      <w:bookmarkEnd w:id="26"/>
    </w:p>
    <w:p>
      <w:pPr>
        <w:keepNext w:val="0"/>
        <w:keepLines w:val="0"/>
        <w:pageBreakBefore w:val="0"/>
        <w:widowControl w:val="0"/>
        <w:suppressLineNumbers w:val="0"/>
        <w:suppressAutoHyphens w:val="0"/>
        <w:kinsoku/>
        <w:wordWrap/>
        <w:overflowPunct/>
        <w:topLinePunct w:val="0"/>
        <w:autoSpaceDE/>
        <w:autoSpaceDN w:val="0"/>
        <w:bidi w:val="0"/>
        <w:adjustRightInd/>
        <w:snapToGrid w:val="0"/>
        <w:spacing w:before="0" w:beforeAutospacing="0" w:after="0" w:afterAutospacing="0" w:line="520" w:lineRule="exact"/>
        <w:ind w:left="0" w:right="0" w:firstLine="640" w:firstLineChars="200"/>
        <w:jc w:val="both"/>
        <w:outlineLvl w:val="9"/>
        <w:rPr>
          <w:rFonts w:hint="eastAsia" w:ascii="仿宋_GB2312" w:eastAsia="仿宋_GB2312" w:cs="仿宋_GB2312"/>
          <w:caps w:val="0"/>
          <w:color w:val="auto"/>
          <w:sz w:val="32"/>
          <w:szCs w:val="32"/>
          <w:vertAlign w:val="baseline"/>
        </w:rPr>
      </w:pPr>
      <w:r>
        <w:rPr>
          <w:rFonts w:hint="eastAsia" w:ascii="仿宋_GB2312" w:hAnsi="Calibri" w:eastAsia="仿宋_GB2312" w:cs="仿宋_GB2312"/>
          <w:b w:val="0"/>
          <w:bCs w:val="0"/>
          <w:caps w:val="0"/>
          <w:color w:val="auto"/>
          <w:kern w:val="2"/>
          <w:sz w:val="32"/>
          <w:szCs w:val="32"/>
          <w:vertAlign w:val="baseline"/>
          <w:lang w:val="en-US" w:eastAsia="zh-CN" w:bidi="ar"/>
        </w:rPr>
        <w:t>按照综合预算的原则，市退役军人局所有收入和支出均纳入部门预算管理。收入包括：一般公共预算拨款收入支出包括：社会保障和就业支出、住房保障支出。2021年收支总预算409.28万元。</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600" w:lineRule="exact"/>
        <w:ind w:left="0" w:right="0" w:firstLine="642" w:firstLineChars="200"/>
        <w:jc w:val="both"/>
        <w:outlineLvl w:val="9"/>
        <w:rPr>
          <w:rFonts w:hint="default" w:ascii="楷体_GB2312" w:eastAsia="楷体_GB2312" w:cs="楷体_GB2312"/>
          <w:b/>
          <w:caps w:val="0"/>
          <w:color w:val="auto"/>
          <w:sz w:val="32"/>
          <w:szCs w:val="32"/>
          <w:vertAlign w:val="baseline"/>
        </w:rPr>
      </w:pPr>
      <w:bookmarkStart w:id="27" w:name="_Toc1019755705_WPSOffice_Level2"/>
      <w:r>
        <w:rPr>
          <w:rFonts w:hint="default" w:ascii="楷体_GB2312" w:hAnsi="Calibri" w:eastAsia="楷体_GB2312" w:cs="楷体_GB2312"/>
          <w:b/>
          <w:bCs w:val="0"/>
          <w:caps w:val="0"/>
          <w:color w:val="auto"/>
          <w:kern w:val="2"/>
          <w:sz w:val="32"/>
          <w:szCs w:val="32"/>
          <w:vertAlign w:val="baseline"/>
          <w:lang w:val="en-US" w:eastAsia="zh-CN" w:bidi="ar"/>
        </w:rPr>
        <w:t>（一）收入预算情况</w:t>
      </w:r>
      <w:bookmarkEnd w:id="27"/>
    </w:p>
    <w:p>
      <w:pPr>
        <w:keepNext w:val="0"/>
        <w:keepLines w:val="0"/>
        <w:pageBreakBefore w:val="0"/>
        <w:widowControl w:val="0"/>
        <w:suppressLineNumbers w:val="0"/>
        <w:suppressAutoHyphens w:val="0"/>
        <w:kinsoku/>
        <w:wordWrap/>
        <w:overflowPunct/>
        <w:topLinePunct w:val="0"/>
        <w:autoSpaceDE/>
        <w:autoSpaceDN w:val="0"/>
        <w:bidi w:val="0"/>
        <w:adjustRightInd/>
        <w:snapToGrid w:val="0"/>
        <w:spacing w:before="0" w:beforeAutospacing="0" w:after="0" w:afterAutospacing="0" w:line="520" w:lineRule="exact"/>
        <w:ind w:left="0" w:right="0" w:firstLine="640" w:firstLineChars="200"/>
        <w:jc w:val="both"/>
        <w:outlineLvl w:val="9"/>
        <w:rPr>
          <w:rFonts w:hint="eastAsia" w:ascii="仿宋_GB2312" w:eastAsia="仿宋_GB2312" w:cs="仿宋_GB2312"/>
          <w:caps w:val="0"/>
          <w:color w:val="auto"/>
          <w:sz w:val="32"/>
          <w:szCs w:val="32"/>
          <w:vertAlign w:val="baseline"/>
        </w:rPr>
      </w:pPr>
      <w:r>
        <w:rPr>
          <w:rFonts w:hint="eastAsia" w:ascii="仿宋_GB2312" w:hAnsi="Calibri" w:eastAsia="仿宋_GB2312" w:cs="仿宋_GB2312"/>
          <w:b w:val="0"/>
          <w:bCs w:val="0"/>
          <w:caps w:val="0"/>
          <w:color w:val="auto"/>
          <w:kern w:val="2"/>
          <w:sz w:val="32"/>
          <w:szCs w:val="32"/>
          <w:vertAlign w:val="baseline"/>
          <w:lang w:val="en-US" w:eastAsia="zh-CN" w:bidi="ar"/>
        </w:rPr>
        <w:t>市退役军人局2021年收入预算409.28万元，其中：一般公共预算拨款收入409.28万元，占100%。主要为：机关事业单位基本养老保险缴费支出21.34万元、行政运行266.65万元、一般行政管理事务68.00万元、拥军优属30.00万元、住房公积金23.29万元。</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600" w:lineRule="exact"/>
        <w:ind w:left="0" w:right="0" w:firstLine="642" w:firstLineChars="200"/>
        <w:jc w:val="both"/>
        <w:outlineLvl w:val="9"/>
        <w:rPr>
          <w:rFonts w:hint="default" w:ascii="楷体_GB2312" w:eastAsia="楷体_GB2312" w:cs="楷体_GB2312"/>
          <w:b/>
          <w:caps w:val="0"/>
          <w:color w:val="auto"/>
          <w:sz w:val="32"/>
          <w:szCs w:val="32"/>
          <w:vertAlign w:val="baseline"/>
        </w:rPr>
      </w:pPr>
      <w:bookmarkStart w:id="28" w:name="_Toc1107577185_WPSOffice_Level2"/>
      <w:r>
        <w:rPr>
          <w:rFonts w:hint="default" w:ascii="楷体_GB2312" w:hAnsi="Calibri" w:eastAsia="楷体_GB2312" w:cs="楷体_GB2312"/>
          <w:b/>
          <w:bCs w:val="0"/>
          <w:caps w:val="0"/>
          <w:color w:val="auto"/>
          <w:kern w:val="2"/>
          <w:sz w:val="32"/>
          <w:szCs w:val="32"/>
          <w:vertAlign w:val="baseline"/>
          <w:lang w:val="en-US" w:eastAsia="zh-CN" w:bidi="ar"/>
        </w:rPr>
        <w:t>（二）支出预算情况</w:t>
      </w:r>
      <w:bookmarkEnd w:id="28"/>
    </w:p>
    <w:p>
      <w:pPr>
        <w:keepNext w:val="0"/>
        <w:keepLines w:val="0"/>
        <w:pageBreakBefore w:val="0"/>
        <w:widowControl w:val="0"/>
        <w:suppressLineNumbers w:val="0"/>
        <w:suppressAutoHyphens w:val="0"/>
        <w:kinsoku/>
        <w:wordWrap/>
        <w:overflowPunct/>
        <w:topLinePunct w:val="0"/>
        <w:autoSpaceDE/>
        <w:autoSpaceDN w:val="0"/>
        <w:bidi w:val="0"/>
        <w:adjustRightInd/>
        <w:snapToGrid w:val="0"/>
        <w:spacing w:before="0" w:beforeAutospacing="0" w:after="0" w:afterAutospacing="0" w:line="520" w:lineRule="exact"/>
        <w:ind w:left="0" w:right="0" w:firstLine="640" w:firstLineChars="200"/>
        <w:jc w:val="both"/>
        <w:outlineLvl w:val="9"/>
        <w:rPr>
          <w:rFonts w:hint="eastAsia" w:ascii="仿宋_GB2312" w:eastAsia="仿宋_GB2312" w:cs="仿宋_GB2312"/>
          <w:caps w:val="0"/>
          <w:color w:val="auto"/>
          <w:sz w:val="32"/>
          <w:szCs w:val="32"/>
          <w:vertAlign w:val="baseline"/>
        </w:rPr>
      </w:pPr>
      <w:r>
        <w:rPr>
          <w:rFonts w:hint="eastAsia" w:ascii="仿宋_GB2312" w:hAnsi="Calibri" w:eastAsia="仿宋_GB2312" w:cs="仿宋_GB2312"/>
          <w:b w:val="0"/>
          <w:bCs w:val="0"/>
          <w:caps w:val="0"/>
          <w:color w:val="auto"/>
          <w:kern w:val="2"/>
          <w:sz w:val="32"/>
          <w:szCs w:val="32"/>
          <w:vertAlign w:val="baseline"/>
          <w:lang w:val="en-US" w:eastAsia="zh-CN" w:bidi="ar"/>
        </w:rPr>
        <w:t>市退役军人局2021年支出预算409.28万元，其中：基本支出311.28万元，占76.06%，主要为：机关事业单位基本养老保险缴费支出21.34万元、行政运行266.65万元、住房公积金23.29万元；项目支出98.00万元，占23.94%，主要为：一般行政管理事务68.00万元、拥军优属30.00万元。</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600" w:lineRule="exact"/>
        <w:ind w:left="0" w:right="0" w:firstLine="640" w:firstLineChars="200"/>
        <w:jc w:val="both"/>
        <w:outlineLvl w:val="9"/>
        <w:rPr>
          <w:rFonts w:hint="eastAsia" w:ascii="黑体" w:hAnsi="宋体" w:eastAsia="黑体" w:cs="黑体"/>
          <w:caps w:val="0"/>
          <w:color w:val="auto"/>
          <w:sz w:val="32"/>
          <w:szCs w:val="32"/>
          <w:vertAlign w:val="baseline"/>
        </w:rPr>
      </w:pPr>
      <w:bookmarkStart w:id="29" w:name="_Toc1255223105_WPSOffice_Level1"/>
      <w:r>
        <w:rPr>
          <w:rFonts w:hint="eastAsia" w:ascii="黑体" w:hAnsi="宋体" w:eastAsia="黑体" w:cs="黑体"/>
          <w:b w:val="0"/>
          <w:bCs w:val="0"/>
          <w:caps w:val="0"/>
          <w:color w:val="auto"/>
          <w:kern w:val="2"/>
          <w:sz w:val="32"/>
          <w:szCs w:val="32"/>
          <w:vertAlign w:val="baseline"/>
          <w:lang w:val="en-US" w:eastAsia="zh-CN" w:bidi="ar"/>
        </w:rPr>
        <w:t>四、财政拨款收支预算情况说明</w:t>
      </w:r>
      <w:bookmarkEnd w:id="29"/>
    </w:p>
    <w:p>
      <w:pPr>
        <w:keepNext w:val="0"/>
        <w:keepLines w:val="0"/>
        <w:pageBreakBefore w:val="0"/>
        <w:widowControl w:val="0"/>
        <w:suppressLineNumbers w:val="0"/>
        <w:suppressAutoHyphens w:val="0"/>
        <w:kinsoku/>
        <w:wordWrap/>
        <w:overflowPunct/>
        <w:topLinePunct w:val="0"/>
        <w:autoSpaceDE/>
        <w:autoSpaceDN w:val="0"/>
        <w:bidi w:val="0"/>
        <w:adjustRightInd/>
        <w:snapToGrid w:val="0"/>
        <w:spacing w:before="0" w:beforeAutospacing="0" w:after="0" w:afterAutospacing="0" w:line="520" w:lineRule="exact"/>
        <w:ind w:left="0" w:right="0" w:firstLine="640" w:firstLineChars="200"/>
        <w:jc w:val="both"/>
        <w:outlineLvl w:val="9"/>
        <w:rPr>
          <w:rFonts w:hint="eastAsia" w:ascii="仿宋_GB2312" w:eastAsia="仿宋_GB2312" w:cs="仿宋_GB2312"/>
          <w:caps w:val="0"/>
          <w:color w:val="auto"/>
          <w:sz w:val="32"/>
          <w:szCs w:val="32"/>
          <w:vertAlign w:val="baseline"/>
        </w:rPr>
      </w:pPr>
      <w:r>
        <w:rPr>
          <w:rFonts w:hint="eastAsia" w:ascii="仿宋_GB2312" w:hAnsi="Calibri" w:eastAsia="仿宋_GB2312" w:cs="仿宋_GB2312"/>
          <w:b w:val="0"/>
          <w:bCs w:val="0"/>
          <w:caps w:val="0"/>
          <w:color w:val="auto"/>
          <w:kern w:val="2"/>
          <w:sz w:val="32"/>
          <w:szCs w:val="32"/>
          <w:vertAlign w:val="baseline"/>
          <w:lang w:val="en-US" w:eastAsia="zh-CN" w:bidi="ar"/>
        </w:rPr>
        <w:t>市退役军人局2021年财政拨款收支总预算409.28万元。收入包括：本年一般公共预算拨款收入409.28万元；支出包括：社会保障和就业支出385.99万元、住房保障支出23.29万元。</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600" w:lineRule="exact"/>
        <w:ind w:left="0" w:right="0" w:firstLine="640" w:firstLineChars="200"/>
        <w:jc w:val="both"/>
        <w:outlineLvl w:val="9"/>
        <w:rPr>
          <w:rFonts w:hint="eastAsia" w:ascii="黑体" w:hAnsi="宋体" w:eastAsia="黑体" w:cs="黑体"/>
          <w:caps w:val="0"/>
          <w:color w:val="auto"/>
          <w:sz w:val="32"/>
          <w:szCs w:val="32"/>
          <w:vertAlign w:val="baseline"/>
        </w:rPr>
      </w:pPr>
      <w:bookmarkStart w:id="30" w:name="_Toc104927779_WPSOffice_Level1"/>
      <w:r>
        <w:rPr>
          <w:rFonts w:hint="eastAsia" w:ascii="黑体" w:hAnsi="宋体" w:eastAsia="黑体" w:cs="黑体"/>
          <w:b w:val="0"/>
          <w:bCs w:val="0"/>
          <w:caps w:val="0"/>
          <w:color w:val="auto"/>
          <w:kern w:val="2"/>
          <w:sz w:val="32"/>
          <w:szCs w:val="32"/>
          <w:vertAlign w:val="baseline"/>
          <w:lang w:val="en-US" w:eastAsia="zh-CN" w:bidi="ar"/>
        </w:rPr>
        <w:t>五、一般公共预算当年拨款情况说明</w:t>
      </w:r>
      <w:bookmarkEnd w:id="30"/>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600" w:lineRule="exact"/>
        <w:ind w:left="0" w:right="0" w:firstLine="642" w:firstLineChars="200"/>
        <w:jc w:val="both"/>
        <w:outlineLvl w:val="9"/>
        <w:rPr>
          <w:rFonts w:hint="default" w:ascii="楷体_GB2312" w:eastAsia="楷体_GB2312" w:cs="楷体_GB2312"/>
          <w:b/>
          <w:caps w:val="0"/>
          <w:color w:val="auto"/>
          <w:sz w:val="32"/>
          <w:szCs w:val="32"/>
          <w:vertAlign w:val="baseline"/>
        </w:rPr>
      </w:pPr>
      <w:bookmarkStart w:id="31" w:name="_Toc2129263769_WPSOffice_Level2"/>
      <w:r>
        <w:rPr>
          <w:rFonts w:hint="default" w:ascii="楷体_GB2312" w:hAnsi="Calibri" w:eastAsia="楷体_GB2312" w:cs="楷体_GB2312"/>
          <w:b/>
          <w:bCs w:val="0"/>
          <w:caps w:val="0"/>
          <w:color w:val="auto"/>
          <w:kern w:val="2"/>
          <w:sz w:val="32"/>
          <w:szCs w:val="32"/>
          <w:vertAlign w:val="baseline"/>
          <w:lang w:val="en-US" w:eastAsia="zh-CN" w:bidi="ar"/>
        </w:rPr>
        <w:t>（一）一般公共预算当年拨款规模变化情况</w:t>
      </w:r>
      <w:bookmarkEnd w:id="31"/>
    </w:p>
    <w:p>
      <w:pPr>
        <w:keepNext w:val="0"/>
        <w:keepLines w:val="0"/>
        <w:pageBreakBefore w:val="0"/>
        <w:widowControl w:val="0"/>
        <w:suppressLineNumbers w:val="0"/>
        <w:suppressAutoHyphens w:val="0"/>
        <w:kinsoku/>
        <w:wordWrap/>
        <w:overflowPunct/>
        <w:topLinePunct w:val="0"/>
        <w:autoSpaceDE/>
        <w:autoSpaceDN w:val="0"/>
        <w:bidi w:val="0"/>
        <w:adjustRightInd/>
        <w:snapToGrid w:val="0"/>
        <w:spacing w:before="0" w:beforeAutospacing="0" w:after="0" w:afterAutospacing="0" w:line="520" w:lineRule="exact"/>
        <w:ind w:left="0" w:right="0" w:firstLine="640" w:firstLineChars="200"/>
        <w:jc w:val="both"/>
        <w:outlineLvl w:val="9"/>
        <w:rPr>
          <w:rFonts w:hint="eastAsia" w:ascii="仿宋_GB2312" w:eastAsia="仿宋_GB2312" w:cs="仿宋_GB2312"/>
          <w:caps w:val="0"/>
          <w:color w:val="auto"/>
          <w:sz w:val="32"/>
          <w:szCs w:val="32"/>
          <w:vertAlign w:val="baseline"/>
        </w:rPr>
      </w:pPr>
      <w:r>
        <w:rPr>
          <w:rFonts w:hint="eastAsia" w:ascii="仿宋_GB2312" w:hAnsi="Calibri" w:eastAsia="仿宋_GB2312" w:cs="仿宋_GB2312"/>
          <w:b w:val="0"/>
          <w:bCs w:val="0"/>
          <w:caps w:val="0"/>
          <w:color w:val="auto"/>
          <w:kern w:val="2"/>
          <w:sz w:val="32"/>
          <w:szCs w:val="32"/>
          <w:vertAlign w:val="baseline"/>
          <w:lang w:val="en-US" w:eastAsia="zh-CN" w:bidi="ar"/>
        </w:rPr>
        <w:t>市退役军人局2021年一般公共预算当年拨款409.28万元，比2020年预算数减少117.72万元，主要为军分区安保勤务人员经费减少。</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600" w:lineRule="exact"/>
        <w:ind w:left="0" w:right="0" w:firstLine="642" w:firstLineChars="200"/>
        <w:jc w:val="both"/>
        <w:outlineLvl w:val="9"/>
        <w:rPr>
          <w:rFonts w:hint="default" w:ascii="楷体_GB2312" w:eastAsia="楷体_GB2312" w:cs="楷体_GB2312"/>
          <w:b/>
          <w:caps w:val="0"/>
          <w:color w:val="auto"/>
          <w:sz w:val="32"/>
          <w:szCs w:val="32"/>
          <w:vertAlign w:val="baseline"/>
        </w:rPr>
      </w:pPr>
      <w:bookmarkStart w:id="32" w:name="_Toc979983472_WPSOffice_Level2"/>
      <w:r>
        <w:rPr>
          <w:rFonts w:hint="default" w:ascii="楷体_GB2312" w:hAnsi="Calibri" w:eastAsia="楷体_GB2312" w:cs="楷体_GB2312"/>
          <w:b/>
          <w:bCs w:val="0"/>
          <w:caps w:val="0"/>
          <w:color w:val="auto"/>
          <w:kern w:val="2"/>
          <w:sz w:val="32"/>
          <w:szCs w:val="32"/>
          <w:vertAlign w:val="baseline"/>
          <w:lang w:val="en-US" w:eastAsia="zh-CN" w:bidi="ar"/>
        </w:rPr>
        <w:t>（二）一般公共预算当年拨款结构情况</w:t>
      </w:r>
      <w:bookmarkEnd w:id="32"/>
    </w:p>
    <w:p>
      <w:pPr>
        <w:keepNext w:val="0"/>
        <w:keepLines w:val="0"/>
        <w:pageBreakBefore w:val="0"/>
        <w:widowControl w:val="0"/>
        <w:suppressLineNumbers w:val="0"/>
        <w:suppressAutoHyphens w:val="0"/>
        <w:kinsoku/>
        <w:wordWrap/>
        <w:overflowPunct/>
        <w:topLinePunct w:val="0"/>
        <w:autoSpaceDE/>
        <w:autoSpaceDN w:val="0"/>
        <w:bidi w:val="0"/>
        <w:adjustRightInd/>
        <w:snapToGrid w:val="0"/>
        <w:spacing w:before="0" w:beforeAutospacing="0" w:after="0" w:afterAutospacing="0" w:line="520" w:lineRule="exact"/>
        <w:ind w:left="0" w:right="0" w:firstLine="640" w:firstLineChars="200"/>
        <w:jc w:val="both"/>
        <w:outlineLvl w:val="9"/>
        <w:rPr>
          <w:rFonts w:hint="eastAsia" w:ascii="仿宋_GB2312" w:eastAsia="仿宋_GB2312" w:cs="仿宋_GB2312"/>
          <w:caps w:val="0"/>
          <w:color w:val="auto"/>
          <w:sz w:val="32"/>
          <w:szCs w:val="32"/>
          <w:vertAlign w:val="baseline"/>
        </w:rPr>
      </w:pPr>
      <w:r>
        <w:rPr>
          <w:rFonts w:hint="eastAsia" w:ascii="仿宋_GB2312" w:hAnsi="Calibri" w:eastAsia="仿宋_GB2312" w:cs="仿宋_GB2312"/>
          <w:b w:val="0"/>
          <w:bCs w:val="0"/>
          <w:caps w:val="0"/>
          <w:color w:val="auto"/>
          <w:kern w:val="2"/>
          <w:sz w:val="32"/>
          <w:szCs w:val="32"/>
          <w:vertAlign w:val="baseline"/>
          <w:lang w:val="en-US" w:eastAsia="zh-CN" w:bidi="ar"/>
        </w:rPr>
        <w:t>社会保障和就业支出385.99万元，占94.31%；住房保障支出23.29万元,占5.69%。</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600" w:lineRule="exact"/>
        <w:ind w:left="0" w:right="0" w:firstLine="642" w:firstLineChars="200"/>
        <w:jc w:val="both"/>
        <w:outlineLvl w:val="9"/>
        <w:rPr>
          <w:rFonts w:hint="default" w:ascii="楷体_GB2312" w:eastAsia="楷体_GB2312" w:cs="楷体_GB2312"/>
          <w:b/>
          <w:caps w:val="0"/>
          <w:color w:val="auto"/>
          <w:sz w:val="32"/>
          <w:szCs w:val="32"/>
          <w:vertAlign w:val="baseline"/>
        </w:rPr>
      </w:pPr>
      <w:bookmarkStart w:id="33" w:name="_Toc1316511836_WPSOffice_Level2"/>
      <w:r>
        <w:rPr>
          <w:rFonts w:hint="default" w:ascii="楷体_GB2312" w:hAnsi="Calibri" w:eastAsia="楷体_GB2312" w:cs="楷体_GB2312"/>
          <w:b/>
          <w:bCs w:val="0"/>
          <w:caps w:val="0"/>
          <w:color w:val="auto"/>
          <w:kern w:val="2"/>
          <w:sz w:val="32"/>
          <w:szCs w:val="32"/>
          <w:vertAlign w:val="baseline"/>
          <w:lang w:val="en-US" w:eastAsia="zh-CN" w:bidi="ar"/>
        </w:rPr>
        <w:t>（三）一般公共预算当年拨款具体使用情况</w:t>
      </w:r>
      <w:bookmarkEnd w:id="33"/>
    </w:p>
    <w:p>
      <w:pPr>
        <w:keepNext w:val="0"/>
        <w:keepLines w:val="0"/>
        <w:pageBreakBefore w:val="0"/>
        <w:widowControl w:val="0"/>
        <w:suppressLineNumbers w:val="0"/>
        <w:suppressAutoHyphens w:val="0"/>
        <w:kinsoku/>
        <w:wordWrap/>
        <w:overflowPunct/>
        <w:topLinePunct w:val="0"/>
        <w:autoSpaceDE/>
        <w:autoSpaceDN w:val="0"/>
        <w:bidi w:val="0"/>
        <w:adjustRightInd/>
        <w:snapToGrid w:val="0"/>
        <w:spacing w:before="0" w:beforeAutospacing="0" w:after="0" w:afterAutospacing="0" w:line="520" w:lineRule="exact"/>
        <w:ind w:left="0" w:right="0" w:firstLine="640" w:firstLineChars="200"/>
        <w:jc w:val="both"/>
        <w:outlineLvl w:val="9"/>
        <w:rPr>
          <w:rFonts w:hint="eastAsia" w:ascii="仿宋_GB2312" w:eastAsia="仿宋_GB2312" w:cs="仿宋_GB2312"/>
          <w:caps w:val="0"/>
          <w:color w:val="auto"/>
          <w:sz w:val="32"/>
          <w:szCs w:val="32"/>
          <w:vertAlign w:val="baseline"/>
        </w:rPr>
      </w:pPr>
      <w:r>
        <w:rPr>
          <w:rFonts w:hint="eastAsia" w:ascii="仿宋_GB2312" w:hAnsi="Calibri" w:eastAsia="仿宋_GB2312" w:cs="仿宋_GB2312"/>
          <w:b w:val="0"/>
          <w:bCs w:val="0"/>
          <w:caps w:val="0"/>
          <w:color w:val="auto"/>
          <w:kern w:val="2"/>
          <w:sz w:val="32"/>
          <w:szCs w:val="32"/>
          <w:vertAlign w:val="baseline"/>
          <w:lang w:val="en-US" w:eastAsia="zh-CN" w:bidi="ar"/>
        </w:rPr>
        <w:t>1.社会保障和就业（类）退役军人管理事务（款）行政运行（项）2021年预算数为266.65万元，主要用于：机关在职职工工资福利支出和公用经费支出。</w:t>
      </w:r>
    </w:p>
    <w:p>
      <w:pPr>
        <w:keepNext w:val="0"/>
        <w:keepLines w:val="0"/>
        <w:pageBreakBefore w:val="0"/>
        <w:widowControl w:val="0"/>
        <w:suppressLineNumbers w:val="0"/>
        <w:suppressAutoHyphens w:val="0"/>
        <w:kinsoku/>
        <w:wordWrap/>
        <w:overflowPunct/>
        <w:topLinePunct w:val="0"/>
        <w:autoSpaceDE/>
        <w:autoSpaceDN w:val="0"/>
        <w:bidi w:val="0"/>
        <w:adjustRightInd/>
        <w:snapToGrid w:val="0"/>
        <w:spacing w:before="0" w:beforeAutospacing="0" w:after="0" w:afterAutospacing="0" w:line="520" w:lineRule="exact"/>
        <w:ind w:left="0" w:right="0" w:firstLine="640" w:firstLineChars="200"/>
        <w:jc w:val="both"/>
        <w:outlineLvl w:val="9"/>
        <w:rPr>
          <w:rFonts w:hint="eastAsia" w:ascii="仿宋_GB2312" w:eastAsia="仿宋_GB2312" w:cs="仿宋_GB2312"/>
          <w:caps w:val="0"/>
          <w:color w:val="auto"/>
          <w:sz w:val="32"/>
          <w:szCs w:val="32"/>
          <w:vertAlign w:val="baseline"/>
        </w:rPr>
      </w:pPr>
      <w:r>
        <w:rPr>
          <w:rFonts w:hint="eastAsia" w:ascii="仿宋_GB2312" w:hAnsi="Calibri" w:eastAsia="仿宋_GB2312" w:cs="仿宋_GB2312"/>
          <w:b w:val="0"/>
          <w:bCs w:val="0"/>
          <w:caps w:val="0"/>
          <w:color w:val="auto"/>
          <w:kern w:val="2"/>
          <w:sz w:val="32"/>
          <w:szCs w:val="32"/>
          <w:vertAlign w:val="baseline"/>
          <w:lang w:val="en-US" w:eastAsia="zh-CN" w:bidi="ar"/>
        </w:rPr>
        <w:t>2.社会保障和就业（类）行政事业单位养老支出（款）机关事业单位基本养老保险缴费支出（项）2021年预算数为21.34万元，主要用于：基本养老保险缴费。</w:t>
      </w:r>
    </w:p>
    <w:p>
      <w:pPr>
        <w:keepNext w:val="0"/>
        <w:keepLines w:val="0"/>
        <w:pageBreakBefore w:val="0"/>
        <w:widowControl w:val="0"/>
        <w:suppressLineNumbers w:val="0"/>
        <w:suppressAutoHyphens w:val="0"/>
        <w:kinsoku/>
        <w:wordWrap/>
        <w:overflowPunct/>
        <w:topLinePunct w:val="0"/>
        <w:autoSpaceDE/>
        <w:autoSpaceDN w:val="0"/>
        <w:bidi w:val="0"/>
        <w:adjustRightInd/>
        <w:snapToGrid w:val="0"/>
        <w:spacing w:before="0" w:beforeAutospacing="0" w:after="0" w:afterAutospacing="0" w:line="520" w:lineRule="exact"/>
        <w:ind w:left="0" w:right="0" w:firstLine="640" w:firstLineChars="200"/>
        <w:jc w:val="both"/>
        <w:outlineLvl w:val="9"/>
        <w:rPr>
          <w:rFonts w:hint="eastAsia" w:ascii="仿宋_GB2312" w:eastAsia="仿宋_GB2312" w:cs="仿宋_GB2312"/>
          <w:caps w:val="0"/>
          <w:color w:val="auto"/>
          <w:sz w:val="32"/>
          <w:szCs w:val="32"/>
          <w:vertAlign w:val="baseline"/>
        </w:rPr>
      </w:pPr>
      <w:r>
        <w:rPr>
          <w:rFonts w:hint="eastAsia" w:ascii="仿宋_GB2312" w:hAnsi="Calibri" w:eastAsia="仿宋_GB2312" w:cs="仿宋_GB2312"/>
          <w:b w:val="0"/>
          <w:bCs w:val="0"/>
          <w:caps w:val="0"/>
          <w:color w:val="auto"/>
          <w:kern w:val="2"/>
          <w:sz w:val="32"/>
          <w:szCs w:val="32"/>
          <w:vertAlign w:val="baseline"/>
          <w:lang w:val="en-US" w:eastAsia="zh-CN" w:bidi="ar"/>
        </w:rPr>
        <w:t>3.社会保障和就业（类）退役军人管理事务（款）一般行政管理事务（项）2021年预算数为68.00万元，主要用于：保障机关正常运转、完成日常工作任务及公务车购置。</w:t>
      </w:r>
    </w:p>
    <w:p>
      <w:pPr>
        <w:keepNext w:val="0"/>
        <w:keepLines w:val="0"/>
        <w:pageBreakBefore w:val="0"/>
        <w:widowControl w:val="0"/>
        <w:suppressLineNumbers w:val="0"/>
        <w:suppressAutoHyphens w:val="0"/>
        <w:kinsoku/>
        <w:wordWrap/>
        <w:overflowPunct/>
        <w:topLinePunct w:val="0"/>
        <w:autoSpaceDE/>
        <w:autoSpaceDN w:val="0"/>
        <w:bidi w:val="0"/>
        <w:adjustRightInd/>
        <w:snapToGrid w:val="0"/>
        <w:spacing w:before="0" w:beforeAutospacing="0" w:after="0" w:afterAutospacing="0" w:line="520" w:lineRule="exact"/>
        <w:ind w:left="0" w:right="0" w:firstLine="640" w:firstLineChars="200"/>
        <w:jc w:val="both"/>
        <w:outlineLvl w:val="9"/>
        <w:rPr>
          <w:rFonts w:hint="eastAsia" w:ascii="仿宋_GB2312" w:eastAsia="仿宋_GB2312" w:cs="仿宋_GB2312"/>
          <w:caps w:val="0"/>
          <w:color w:val="auto"/>
          <w:sz w:val="32"/>
          <w:szCs w:val="32"/>
          <w:vertAlign w:val="baseline"/>
        </w:rPr>
      </w:pPr>
      <w:r>
        <w:rPr>
          <w:rFonts w:hint="eastAsia" w:ascii="仿宋_GB2312" w:hAnsi="Calibri" w:eastAsia="仿宋_GB2312" w:cs="仿宋_GB2312"/>
          <w:b w:val="0"/>
          <w:bCs w:val="0"/>
          <w:caps w:val="0"/>
          <w:color w:val="auto"/>
          <w:kern w:val="2"/>
          <w:sz w:val="32"/>
          <w:szCs w:val="32"/>
          <w:vertAlign w:val="baseline"/>
          <w:lang w:val="en-US" w:eastAsia="zh-CN" w:bidi="ar"/>
        </w:rPr>
        <w:t>4.社会保障和就业（类）退役军人管理事务（款）拥军优属（项）2021年预算数为30.00万元，主要用于：走访慰问部队官兵和优抚对象。</w:t>
      </w:r>
    </w:p>
    <w:p>
      <w:pPr>
        <w:keepNext w:val="0"/>
        <w:keepLines w:val="0"/>
        <w:pageBreakBefore w:val="0"/>
        <w:widowControl w:val="0"/>
        <w:suppressLineNumbers w:val="0"/>
        <w:suppressAutoHyphens w:val="0"/>
        <w:kinsoku/>
        <w:wordWrap/>
        <w:overflowPunct/>
        <w:topLinePunct w:val="0"/>
        <w:autoSpaceDE/>
        <w:autoSpaceDN w:val="0"/>
        <w:bidi w:val="0"/>
        <w:adjustRightInd/>
        <w:snapToGrid w:val="0"/>
        <w:spacing w:before="0" w:beforeAutospacing="0" w:after="0" w:afterAutospacing="0" w:line="520" w:lineRule="exact"/>
        <w:ind w:left="0" w:right="0" w:firstLine="640" w:firstLineChars="200"/>
        <w:jc w:val="both"/>
        <w:outlineLvl w:val="9"/>
        <w:rPr>
          <w:rFonts w:hint="eastAsia" w:ascii="仿宋_GB2312" w:eastAsia="仿宋_GB2312" w:cs="仿宋_GB2312"/>
          <w:caps w:val="0"/>
          <w:color w:val="auto"/>
          <w:sz w:val="32"/>
          <w:szCs w:val="32"/>
          <w:vertAlign w:val="baseline"/>
        </w:rPr>
      </w:pPr>
      <w:r>
        <w:rPr>
          <w:rFonts w:hint="eastAsia" w:ascii="仿宋_GB2312" w:hAnsi="Calibri" w:eastAsia="仿宋_GB2312" w:cs="仿宋_GB2312"/>
          <w:b w:val="0"/>
          <w:bCs w:val="0"/>
          <w:caps w:val="0"/>
          <w:color w:val="auto"/>
          <w:kern w:val="2"/>
          <w:sz w:val="32"/>
          <w:szCs w:val="32"/>
          <w:vertAlign w:val="baseline"/>
          <w:lang w:val="en-US" w:eastAsia="zh-CN" w:bidi="ar"/>
        </w:rPr>
        <w:t>5. 住房保障支出（类）住房改革支出（款）住房公积金（项）2021年预算数为23.29万元，主要用于：缴纳职工住房公积金。</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600" w:lineRule="exact"/>
        <w:ind w:left="0" w:right="0" w:firstLine="640" w:firstLineChars="200"/>
        <w:jc w:val="both"/>
        <w:outlineLvl w:val="9"/>
        <w:rPr>
          <w:rFonts w:hint="eastAsia" w:ascii="黑体" w:hAnsi="宋体" w:eastAsia="黑体" w:cs="黑体"/>
          <w:caps w:val="0"/>
          <w:color w:val="auto"/>
          <w:sz w:val="32"/>
          <w:szCs w:val="32"/>
          <w:vertAlign w:val="baseline"/>
        </w:rPr>
      </w:pPr>
      <w:bookmarkStart w:id="34" w:name="_Toc795508266_WPSOffice_Level1"/>
      <w:r>
        <w:rPr>
          <w:rFonts w:hint="eastAsia" w:ascii="黑体" w:hAnsi="宋体" w:eastAsia="黑体" w:cs="黑体"/>
          <w:b w:val="0"/>
          <w:bCs w:val="0"/>
          <w:caps w:val="0"/>
          <w:color w:val="auto"/>
          <w:kern w:val="2"/>
          <w:sz w:val="32"/>
          <w:szCs w:val="32"/>
          <w:vertAlign w:val="baseline"/>
          <w:lang w:val="en-US" w:eastAsia="zh-CN" w:bidi="ar"/>
        </w:rPr>
        <w:t>六、一般公共预算基本支出情况说明</w:t>
      </w:r>
      <w:bookmarkEnd w:id="34"/>
    </w:p>
    <w:p>
      <w:pPr>
        <w:keepNext w:val="0"/>
        <w:keepLines w:val="0"/>
        <w:pageBreakBefore w:val="0"/>
        <w:widowControl w:val="0"/>
        <w:suppressLineNumbers w:val="0"/>
        <w:suppressAutoHyphens w:val="0"/>
        <w:kinsoku/>
        <w:wordWrap/>
        <w:overflowPunct/>
        <w:topLinePunct w:val="0"/>
        <w:autoSpaceDE/>
        <w:autoSpaceDN w:val="0"/>
        <w:bidi w:val="0"/>
        <w:adjustRightInd/>
        <w:snapToGrid w:val="0"/>
        <w:spacing w:before="0" w:beforeAutospacing="0" w:after="0" w:afterAutospacing="0" w:line="520" w:lineRule="exact"/>
        <w:ind w:left="0" w:right="0" w:firstLine="640" w:firstLineChars="200"/>
        <w:jc w:val="both"/>
        <w:outlineLvl w:val="9"/>
        <w:rPr>
          <w:rFonts w:hint="eastAsia" w:ascii="仿宋_GB2312" w:eastAsia="仿宋_GB2312" w:cs="仿宋_GB2312"/>
          <w:caps w:val="0"/>
          <w:color w:val="auto"/>
          <w:sz w:val="32"/>
          <w:szCs w:val="32"/>
          <w:vertAlign w:val="baseline"/>
        </w:rPr>
      </w:pPr>
      <w:r>
        <w:rPr>
          <w:rFonts w:hint="eastAsia" w:ascii="仿宋_GB2312" w:hAnsi="Calibri" w:eastAsia="仿宋_GB2312" w:cs="仿宋_GB2312"/>
          <w:b w:val="0"/>
          <w:bCs w:val="0"/>
          <w:caps w:val="0"/>
          <w:color w:val="auto"/>
          <w:kern w:val="2"/>
          <w:sz w:val="32"/>
          <w:szCs w:val="32"/>
          <w:vertAlign w:val="baseline"/>
          <w:lang w:val="en-US" w:eastAsia="zh-CN" w:bidi="ar"/>
        </w:rPr>
        <w:t>市退役军人局2021年一般公共预算基本支出311.28万元，其中：</w:t>
      </w:r>
    </w:p>
    <w:p>
      <w:pPr>
        <w:keepNext w:val="0"/>
        <w:keepLines w:val="0"/>
        <w:pageBreakBefore w:val="0"/>
        <w:widowControl w:val="0"/>
        <w:suppressLineNumbers w:val="0"/>
        <w:suppressAutoHyphens w:val="0"/>
        <w:kinsoku/>
        <w:wordWrap/>
        <w:overflowPunct/>
        <w:topLinePunct w:val="0"/>
        <w:autoSpaceDE/>
        <w:autoSpaceDN w:val="0"/>
        <w:bidi w:val="0"/>
        <w:adjustRightInd/>
        <w:snapToGrid w:val="0"/>
        <w:spacing w:before="0" w:beforeAutospacing="0" w:after="0" w:afterAutospacing="0" w:line="520" w:lineRule="exact"/>
        <w:ind w:left="0" w:right="0" w:firstLine="640" w:firstLineChars="200"/>
        <w:jc w:val="both"/>
        <w:outlineLvl w:val="9"/>
        <w:rPr>
          <w:rFonts w:hint="eastAsia" w:ascii="仿宋_GB2312" w:eastAsia="仿宋_GB2312" w:cs="仿宋_GB2312"/>
          <w:caps w:val="0"/>
          <w:color w:val="auto"/>
          <w:sz w:val="32"/>
          <w:szCs w:val="32"/>
          <w:vertAlign w:val="baseline"/>
        </w:rPr>
      </w:pPr>
      <w:r>
        <w:rPr>
          <w:rFonts w:hint="eastAsia" w:ascii="仿宋_GB2312" w:hAnsi="Calibri" w:eastAsia="仿宋_GB2312" w:cs="仿宋_GB2312"/>
          <w:b w:val="0"/>
          <w:bCs w:val="0"/>
          <w:caps w:val="0"/>
          <w:color w:val="auto"/>
          <w:kern w:val="2"/>
          <w:sz w:val="32"/>
          <w:szCs w:val="32"/>
          <w:vertAlign w:val="baseline"/>
          <w:lang w:val="en-US" w:eastAsia="zh-CN" w:bidi="ar"/>
        </w:rPr>
        <w:t>人员经费262.74万元，主要包括：基本工资、津贴补贴、奖金、机关事业单位基本养老保险缴费、职工基本医疗保险缴费、公务员医疗补助缴费、住房公积金、其他工资福利支出。</w:t>
      </w:r>
    </w:p>
    <w:p>
      <w:pPr>
        <w:keepNext w:val="0"/>
        <w:keepLines w:val="0"/>
        <w:pageBreakBefore w:val="0"/>
        <w:widowControl w:val="0"/>
        <w:suppressLineNumbers w:val="0"/>
        <w:suppressAutoHyphens w:val="0"/>
        <w:kinsoku/>
        <w:wordWrap/>
        <w:overflowPunct/>
        <w:topLinePunct w:val="0"/>
        <w:autoSpaceDE/>
        <w:autoSpaceDN w:val="0"/>
        <w:bidi w:val="0"/>
        <w:adjustRightInd/>
        <w:snapToGrid w:val="0"/>
        <w:spacing w:before="0" w:beforeAutospacing="0" w:after="0" w:afterAutospacing="0" w:line="520" w:lineRule="exact"/>
        <w:ind w:left="0" w:right="0" w:firstLine="640" w:firstLineChars="200"/>
        <w:jc w:val="both"/>
        <w:outlineLvl w:val="9"/>
        <w:rPr>
          <w:rFonts w:hint="eastAsia" w:ascii="仿宋_GB2312" w:eastAsia="仿宋_GB2312" w:cs="仿宋_GB2312"/>
          <w:caps w:val="0"/>
          <w:color w:val="auto"/>
          <w:sz w:val="32"/>
          <w:szCs w:val="32"/>
          <w:vertAlign w:val="baseline"/>
        </w:rPr>
      </w:pPr>
      <w:r>
        <w:rPr>
          <w:rFonts w:hint="eastAsia" w:ascii="仿宋_GB2312" w:hAnsi="Calibri" w:eastAsia="仿宋_GB2312" w:cs="仿宋_GB2312"/>
          <w:b w:val="0"/>
          <w:bCs w:val="0"/>
          <w:caps w:val="0"/>
          <w:color w:val="auto"/>
          <w:kern w:val="2"/>
          <w:sz w:val="32"/>
          <w:szCs w:val="32"/>
          <w:vertAlign w:val="baseline"/>
          <w:lang w:val="en-US" w:eastAsia="zh-CN" w:bidi="ar"/>
        </w:rPr>
        <w:t>公用经费48.54万元，主要包括：办公费、水费、电费、邮电费、差旅费、工会经费、福利费、公务用车运行维护费、其他交通费用、其他商品和服务支出。</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600" w:lineRule="exact"/>
        <w:ind w:left="0" w:right="0" w:firstLine="640" w:firstLineChars="200"/>
        <w:jc w:val="both"/>
        <w:outlineLvl w:val="9"/>
        <w:rPr>
          <w:rFonts w:hint="eastAsia" w:ascii="黑体" w:hAnsi="宋体" w:eastAsia="黑体" w:cs="黑体"/>
          <w:caps w:val="0"/>
          <w:color w:val="auto"/>
          <w:sz w:val="32"/>
          <w:szCs w:val="32"/>
          <w:vertAlign w:val="baseline"/>
        </w:rPr>
      </w:pPr>
      <w:bookmarkStart w:id="35" w:name="_Toc942336256_WPSOffice_Level1"/>
      <w:r>
        <w:rPr>
          <w:rFonts w:hint="eastAsia" w:ascii="黑体" w:hAnsi="宋体" w:eastAsia="黑体" w:cs="黑体"/>
          <w:b w:val="0"/>
          <w:bCs w:val="0"/>
          <w:caps w:val="0"/>
          <w:color w:val="auto"/>
          <w:kern w:val="2"/>
          <w:sz w:val="32"/>
          <w:szCs w:val="32"/>
          <w:vertAlign w:val="baseline"/>
          <w:lang w:val="en-US" w:eastAsia="zh-CN" w:bidi="ar"/>
        </w:rPr>
        <w:t>七、“三公”经费财政拨款预算安排情况说明</w:t>
      </w:r>
      <w:bookmarkEnd w:id="35"/>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600" w:lineRule="exact"/>
        <w:ind w:left="0" w:right="0" w:firstLine="640" w:firstLineChars="200"/>
        <w:jc w:val="both"/>
        <w:outlineLvl w:val="9"/>
        <w:rPr>
          <w:rFonts w:hint="eastAsia" w:ascii="仿宋_GB2312" w:eastAsia="仿宋_GB2312" w:cs="仿宋_GB2312"/>
          <w:caps w:val="0"/>
          <w:color w:val="auto"/>
          <w:sz w:val="32"/>
          <w:szCs w:val="32"/>
          <w:vertAlign w:val="baseline"/>
        </w:rPr>
      </w:pPr>
      <w:r>
        <w:rPr>
          <w:rFonts w:hint="eastAsia" w:ascii="Times New Roman" w:hAnsi="Calibri" w:eastAsia="仿宋_GB2312" w:cs="仿宋_GB2312"/>
          <w:b w:val="0"/>
          <w:bCs w:val="0"/>
          <w:caps w:val="0"/>
          <w:color w:val="auto"/>
          <w:kern w:val="2"/>
          <w:sz w:val="32"/>
          <w:szCs w:val="32"/>
          <w:vertAlign w:val="baseline"/>
          <w:lang w:val="en-US" w:eastAsia="zh-CN" w:bidi="ar"/>
        </w:rPr>
        <w:t>市退役军人局</w:t>
      </w:r>
      <w:r>
        <w:rPr>
          <w:rFonts w:hint="eastAsia" w:ascii="仿宋_GB2312" w:hAnsi="Calibri" w:eastAsia="仿宋_GB2312" w:cs="仿宋_GB2312"/>
          <w:b w:val="0"/>
          <w:bCs w:val="0"/>
          <w:caps w:val="0"/>
          <w:color w:val="auto"/>
          <w:kern w:val="2"/>
          <w:sz w:val="32"/>
          <w:szCs w:val="32"/>
          <w:vertAlign w:val="baseline"/>
          <w:lang w:val="en-US" w:eastAsia="zh-CN" w:bidi="ar"/>
        </w:rPr>
        <w:t>2021年“三公”经费财政拨款预算数5</w:t>
      </w:r>
      <w:r>
        <w:rPr>
          <w:rFonts w:hint="default" w:ascii="Times New Roman" w:hAnsi="Times New Roman" w:eastAsia="仿宋_GB2312" w:cs="Times New Roman"/>
          <w:b w:val="0"/>
          <w:bCs w:val="0"/>
          <w:caps w:val="0"/>
          <w:color w:val="auto"/>
          <w:kern w:val="2"/>
          <w:sz w:val="32"/>
          <w:szCs w:val="32"/>
          <w:vertAlign w:val="baseline"/>
          <w:lang w:val="en-US" w:eastAsia="zh-CN" w:bidi="ar"/>
        </w:rPr>
        <w:t>1.62</w:t>
      </w:r>
      <w:r>
        <w:rPr>
          <w:rFonts w:hint="eastAsia" w:ascii="仿宋_GB2312" w:hAnsi="Calibri" w:eastAsia="仿宋_GB2312" w:cs="仿宋_GB2312"/>
          <w:b w:val="0"/>
          <w:bCs w:val="0"/>
          <w:caps w:val="0"/>
          <w:color w:val="auto"/>
          <w:kern w:val="2"/>
          <w:sz w:val="32"/>
          <w:szCs w:val="32"/>
          <w:vertAlign w:val="baseline"/>
          <w:lang w:val="en-US" w:eastAsia="zh-CN" w:bidi="ar"/>
        </w:rPr>
        <w:t>万元，其中：因公出国（境）经费</w:t>
      </w:r>
      <w:r>
        <w:rPr>
          <w:rFonts w:hint="default" w:ascii="Times New Roman" w:hAnsi="Times New Roman" w:eastAsia="仿宋_GB2312" w:cs="Times New Roman"/>
          <w:b w:val="0"/>
          <w:bCs w:val="0"/>
          <w:caps w:val="0"/>
          <w:color w:val="auto"/>
          <w:kern w:val="2"/>
          <w:sz w:val="32"/>
          <w:szCs w:val="32"/>
          <w:vertAlign w:val="baseline"/>
          <w:lang w:val="en-US" w:eastAsia="zh-CN" w:bidi="ar"/>
        </w:rPr>
        <w:t>0</w:t>
      </w:r>
      <w:r>
        <w:rPr>
          <w:rFonts w:hint="eastAsia" w:ascii="仿宋_GB2312" w:hAnsi="Calibri" w:eastAsia="仿宋_GB2312" w:cs="仿宋_GB2312"/>
          <w:b w:val="0"/>
          <w:bCs w:val="0"/>
          <w:caps w:val="0"/>
          <w:color w:val="auto"/>
          <w:kern w:val="2"/>
          <w:sz w:val="32"/>
          <w:szCs w:val="32"/>
          <w:vertAlign w:val="baseline"/>
          <w:lang w:val="en-US" w:eastAsia="zh-CN" w:bidi="ar"/>
        </w:rPr>
        <w:t>万元，公务接待费</w:t>
      </w:r>
      <w:r>
        <w:rPr>
          <w:rFonts w:hint="default" w:ascii="Times New Roman" w:hAnsi="Times New Roman" w:eastAsia="仿宋_GB2312" w:cs="Times New Roman"/>
          <w:b w:val="0"/>
          <w:bCs w:val="0"/>
          <w:caps w:val="0"/>
          <w:color w:val="auto"/>
          <w:kern w:val="2"/>
          <w:sz w:val="32"/>
          <w:szCs w:val="32"/>
          <w:vertAlign w:val="baseline"/>
          <w:lang w:val="en-US" w:eastAsia="zh-CN" w:bidi="ar"/>
        </w:rPr>
        <w:t>0</w:t>
      </w:r>
      <w:r>
        <w:rPr>
          <w:rFonts w:hint="eastAsia" w:ascii="仿宋_GB2312" w:hAnsi="Calibri" w:eastAsia="仿宋_GB2312" w:cs="仿宋_GB2312"/>
          <w:b w:val="0"/>
          <w:bCs w:val="0"/>
          <w:caps w:val="0"/>
          <w:color w:val="auto"/>
          <w:kern w:val="2"/>
          <w:sz w:val="32"/>
          <w:szCs w:val="32"/>
          <w:vertAlign w:val="baseline"/>
          <w:lang w:val="en-US" w:eastAsia="zh-CN" w:bidi="ar"/>
        </w:rPr>
        <w:t>万元，公务用车购置及运行维护费5</w:t>
      </w:r>
      <w:r>
        <w:rPr>
          <w:rFonts w:hint="default" w:ascii="Times New Roman" w:hAnsi="Times New Roman" w:eastAsia="仿宋_GB2312" w:cs="Times New Roman"/>
          <w:b w:val="0"/>
          <w:bCs w:val="0"/>
          <w:caps w:val="0"/>
          <w:color w:val="auto"/>
          <w:kern w:val="2"/>
          <w:sz w:val="32"/>
          <w:szCs w:val="32"/>
          <w:vertAlign w:val="baseline"/>
          <w:lang w:val="en-US" w:eastAsia="zh-CN" w:bidi="ar"/>
        </w:rPr>
        <w:t>1.62</w:t>
      </w:r>
      <w:r>
        <w:rPr>
          <w:rFonts w:hint="eastAsia" w:ascii="仿宋_GB2312" w:hAnsi="Calibri" w:eastAsia="仿宋_GB2312" w:cs="仿宋_GB2312"/>
          <w:b w:val="0"/>
          <w:bCs w:val="0"/>
          <w:caps w:val="0"/>
          <w:color w:val="auto"/>
          <w:kern w:val="2"/>
          <w:sz w:val="32"/>
          <w:szCs w:val="32"/>
          <w:vertAlign w:val="baseline"/>
          <w:lang w:val="en-US" w:eastAsia="zh-CN" w:bidi="ar"/>
        </w:rPr>
        <w:t>万元。</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600" w:lineRule="exact"/>
        <w:ind w:left="0" w:right="0" w:firstLine="640"/>
        <w:jc w:val="both"/>
        <w:outlineLvl w:val="9"/>
        <w:rPr>
          <w:rFonts w:hint="default" w:ascii="楷体_GB2312" w:eastAsia="楷体_GB2312" w:cs="楷体_GB2312"/>
          <w:b/>
          <w:caps w:val="0"/>
          <w:color w:val="auto"/>
          <w:sz w:val="32"/>
          <w:szCs w:val="32"/>
          <w:vertAlign w:val="baseline"/>
        </w:rPr>
      </w:pPr>
      <w:r>
        <w:rPr>
          <w:rFonts w:hint="default" w:ascii="楷体_GB2312" w:hAnsi="Calibri" w:eastAsia="楷体_GB2312" w:cs="楷体_GB2312"/>
          <w:b/>
          <w:bCs w:val="0"/>
          <w:caps w:val="0"/>
          <w:color w:val="auto"/>
          <w:kern w:val="2"/>
          <w:sz w:val="32"/>
          <w:szCs w:val="32"/>
          <w:vertAlign w:val="baseline"/>
          <w:lang w:val="en-US" w:eastAsia="zh-CN" w:bidi="ar"/>
        </w:rPr>
        <w:t>（一）因公出国（境）经费2020年、2021年均无财政拨款预算安排。</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600" w:lineRule="exact"/>
        <w:ind w:left="0" w:right="0" w:firstLine="640"/>
        <w:jc w:val="both"/>
        <w:outlineLvl w:val="9"/>
        <w:rPr>
          <w:rFonts w:hint="default" w:ascii="楷体_GB2312" w:eastAsia="楷体_GB2312" w:cs="楷体_GB2312"/>
          <w:b/>
          <w:caps w:val="0"/>
          <w:color w:val="auto"/>
          <w:sz w:val="32"/>
          <w:szCs w:val="32"/>
          <w:vertAlign w:val="baseline"/>
        </w:rPr>
      </w:pPr>
      <w:r>
        <w:rPr>
          <w:rFonts w:hint="default" w:ascii="楷体_GB2312" w:hAnsi="Calibri" w:eastAsia="楷体_GB2312" w:cs="楷体_GB2312"/>
          <w:b/>
          <w:bCs w:val="0"/>
          <w:caps w:val="0"/>
          <w:color w:val="auto"/>
          <w:kern w:val="2"/>
          <w:sz w:val="32"/>
          <w:szCs w:val="32"/>
          <w:vertAlign w:val="baseline"/>
          <w:lang w:val="en-US" w:eastAsia="zh-CN" w:bidi="ar"/>
        </w:rPr>
        <w:t>（二）公务接待费2020年、2021年均无财政拨款预算安排。</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600" w:lineRule="exact"/>
        <w:ind w:left="0" w:right="0" w:firstLine="640"/>
        <w:jc w:val="both"/>
        <w:outlineLvl w:val="9"/>
        <w:rPr>
          <w:rFonts w:hint="eastAsia" w:ascii="仿宋_GB2312" w:eastAsia="仿宋_GB2312" w:cs="仿宋_GB2312"/>
          <w:caps w:val="0"/>
          <w:color w:val="auto"/>
          <w:sz w:val="32"/>
          <w:szCs w:val="32"/>
          <w:vertAlign w:val="baseline"/>
        </w:rPr>
      </w:pPr>
      <w:r>
        <w:rPr>
          <w:rFonts w:hint="default" w:ascii="楷体_GB2312" w:hAnsi="Calibri" w:eastAsia="楷体_GB2312" w:cs="楷体_GB2312"/>
          <w:b/>
          <w:bCs w:val="0"/>
          <w:caps w:val="0"/>
          <w:color w:val="auto"/>
          <w:kern w:val="2"/>
          <w:sz w:val="32"/>
          <w:szCs w:val="32"/>
          <w:vertAlign w:val="baseline"/>
          <w:lang w:val="en-US" w:eastAsia="zh-CN" w:bidi="ar"/>
        </w:rPr>
        <w:t>（三）公务用车购置及运行维护费较2020年增加3,028.48</w:t>
      </w:r>
      <w:r>
        <w:rPr>
          <w:rFonts w:hint="default" w:ascii="Times New Roman" w:hAnsi="Times New Roman" w:eastAsia="仿宋_GB2312" w:cs="Times New Roman"/>
          <w:b/>
          <w:bCs w:val="0"/>
          <w:caps w:val="0"/>
          <w:color w:val="auto"/>
          <w:kern w:val="2"/>
          <w:sz w:val="32"/>
          <w:szCs w:val="32"/>
          <w:vertAlign w:val="baseline"/>
          <w:lang w:val="en-US" w:eastAsia="zh-CN" w:bidi="ar"/>
        </w:rPr>
        <w:t>%</w:t>
      </w:r>
      <w:r>
        <w:rPr>
          <w:rFonts w:hint="default" w:ascii="楷体_GB2312" w:hAnsi="Calibri" w:eastAsia="楷体_GB2312" w:cs="楷体_GB2312"/>
          <w:b/>
          <w:bCs w:val="0"/>
          <w:caps w:val="0"/>
          <w:color w:val="auto"/>
          <w:kern w:val="2"/>
          <w:sz w:val="32"/>
          <w:szCs w:val="32"/>
          <w:vertAlign w:val="baseline"/>
          <w:lang w:val="en-US" w:eastAsia="zh-CN" w:bidi="ar"/>
        </w:rPr>
        <w:t>。</w:t>
      </w:r>
      <w:r>
        <w:rPr>
          <w:rFonts w:hint="eastAsia" w:ascii="仿宋_GB2312" w:hAnsi="Calibri" w:eastAsia="仿宋_GB2312" w:cs="仿宋_GB2312"/>
          <w:b w:val="0"/>
          <w:bCs w:val="0"/>
          <w:caps w:val="0"/>
          <w:color w:val="auto"/>
          <w:kern w:val="2"/>
          <w:sz w:val="32"/>
          <w:szCs w:val="32"/>
          <w:vertAlign w:val="baseline"/>
          <w:lang w:val="en-US" w:eastAsia="zh-CN" w:bidi="ar"/>
        </w:rPr>
        <w:t>主要原因是增加公务车购置费50.00万元,单位现有公务用车</w:t>
      </w:r>
      <w:r>
        <w:rPr>
          <w:rFonts w:hint="default" w:ascii="Times New Roman" w:hAnsi="Times New Roman" w:eastAsia="仿宋_GB2312" w:cs="Times New Roman"/>
          <w:b w:val="0"/>
          <w:bCs w:val="0"/>
          <w:caps w:val="0"/>
          <w:color w:val="auto"/>
          <w:kern w:val="2"/>
          <w:sz w:val="32"/>
          <w:szCs w:val="32"/>
          <w:vertAlign w:val="baseline"/>
          <w:lang w:val="en-US" w:eastAsia="zh-CN" w:bidi="ar"/>
        </w:rPr>
        <w:t>1</w:t>
      </w:r>
      <w:r>
        <w:rPr>
          <w:rFonts w:hint="eastAsia" w:ascii="仿宋_GB2312" w:hAnsi="Calibri" w:eastAsia="仿宋_GB2312" w:cs="仿宋_GB2312"/>
          <w:b w:val="0"/>
          <w:bCs w:val="0"/>
          <w:caps w:val="0"/>
          <w:color w:val="auto"/>
          <w:kern w:val="2"/>
          <w:sz w:val="32"/>
          <w:szCs w:val="32"/>
          <w:vertAlign w:val="baseline"/>
          <w:lang w:val="en-US" w:eastAsia="zh-CN" w:bidi="ar"/>
        </w:rPr>
        <w:t>辆。</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600" w:lineRule="exact"/>
        <w:ind w:left="0" w:right="0" w:firstLine="640"/>
        <w:jc w:val="both"/>
        <w:outlineLvl w:val="9"/>
        <w:rPr>
          <w:rFonts w:hint="eastAsia" w:ascii="仿宋_GB2312" w:eastAsia="仿宋_GB2312" w:cs="仿宋_GB2312"/>
          <w:caps w:val="0"/>
          <w:color w:val="auto"/>
          <w:sz w:val="32"/>
          <w:szCs w:val="32"/>
          <w:vertAlign w:val="baseline"/>
        </w:rPr>
      </w:pPr>
      <w:r>
        <w:rPr>
          <w:rFonts w:hint="eastAsia" w:ascii="仿宋_GB2312" w:hAnsi="Calibri" w:eastAsia="仿宋_GB2312" w:cs="仿宋_GB2312"/>
          <w:b w:val="0"/>
          <w:bCs w:val="0"/>
          <w:caps w:val="0"/>
          <w:color w:val="auto"/>
          <w:kern w:val="2"/>
          <w:sz w:val="32"/>
          <w:szCs w:val="32"/>
          <w:vertAlign w:val="baseline"/>
          <w:lang w:val="en-US" w:eastAsia="zh-CN" w:bidi="ar"/>
        </w:rPr>
        <w:t xml:space="preserve"> 2021年安排公务用车购置费5</w:t>
      </w:r>
      <w:r>
        <w:rPr>
          <w:rFonts w:hint="default" w:ascii="Times New Roman" w:hAnsi="Times New Roman" w:eastAsia="仿宋_GB2312" w:cs="Times New Roman"/>
          <w:b w:val="0"/>
          <w:bCs w:val="0"/>
          <w:caps w:val="0"/>
          <w:color w:val="auto"/>
          <w:kern w:val="2"/>
          <w:sz w:val="32"/>
          <w:szCs w:val="32"/>
          <w:vertAlign w:val="baseline"/>
          <w:lang w:val="en-US" w:eastAsia="zh-CN" w:bidi="ar"/>
        </w:rPr>
        <w:t>0.00</w:t>
      </w:r>
      <w:r>
        <w:rPr>
          <w:rFonts w:hint="eastAsia" w:ascii="仿宋_GB2312" w:hAnsi="Calibri" w:eastAsia="仿宋_GB2312" w:cs="仿宋_GB2312"/>
          <w:b w:val="0"/>
          <w:bCs w:val="0"/>
          <w:caps w:val="0"/>
          <w:color w:val="auto"/>
          <w:kern w:val="2"/>
          <w:sz w:val="32"/>
          <w:szCs w:val="32"/>
          <w:vertAlign w:val="baseline"/>
          <w:lang w:val="en-US" w:eastAsia="zh-CN" w:bidi="ar"/>
        </w:rPr>
        <w:t>万元，购置公务用车</w:t>
      </w:r>
      <w:r>
        <w:rPr>
          <w:rFonts w:hint="default" w:ascii="Times New Roman" w:hAnsi="Times New Roman" w:eastAsia="仿宋_GB2312" w:cs="Times New Roman"/>
          <w:b w:val="0"/>
          <w:bCs w:val="0"/>
          <w:caps w:val="0"/>
          <w:color w:val="auto"/>
          <w:kern w:val="2"/>
          <w:sz w:val="32"/>
          <w:szCs w:val="32"/>
          <w:vertAlign w:val="baseline"/>
          <w:lang w:val="en-US" w:eastAsia="zh-CN" w:bidi="ar"/>
        </w:rPr>
        <w:t>1</w:t>
      </w:r>
      <w:r>
        <w:rPr>
          <w:rFonts w:hint="eastAsia" w:ascii="仿宋_GB2312" w:hAnsi="Calibri" w:eastAsia="仿宋_GB2312" w:cs="仿宋_GB2312"/>
          <w:b w:val="0"/>
          <w:bCs w:val="0"/>
          <w:caps w:val="0"/>
          <w:color w:val="auto"/>
          <w:kern w:val="2"/>
          <w:sz w:val="32"/>
          <w:szCs w:val="32"/>
          <w:vertAlign w:val="baseline"/>
          <w:lang w:val="en-US" w:eastAsia="zh-CN" w:bidi="ar"/>
        </w:rPr>
        <w:t>辆，其中：轿车（含7座以下商务车、城市越野车）</w:t>
      </w:r>
      <w:r>
        <w:rPr>
          <w:rFonts w:hint="default" w:ascii="Times New Roman" w:hAnsi="Times New Roman" w:eastAsia="仿宋_GB2312" w:cs="Times New Roman"/>
          <w:b w:val="0"/>
          <w:bCs w:val="0"/>
          <w:caps w:val="0"/>
          <w:color w:val="auto"/>
          <w:kern w:val="2"/>
          <w:sz w:val="32"/>
          <w:szCs w:val="32"/>
          <w:vertAlign w:val="baseline"/>
          <w:lang w:val="en-US" w:eastAsia="zh-CN" w:bidi="ar"/>
        </w:rPr>
        <w:t>0</w:t>
      </w:r>
      <w:r>
        <w:rPr>
          <w:rFonts w:hint="eastAsia" w:ascii="仿宋_GB2312" w:hAnsi="Calibri" w:eastAsia="仿宋_GB2312" w:cs="仿宋_GB2312"/>
          <w:b w:val="0"/>
          <w:bCs w:val="0"/>
          <w:caps w:val="0"/>
          <w:color w:val="auto"/>
          <w:kern w:val="2"/>
          <w:sz w:val="32"/>
          <w:szCs w:val="32"/>
          <w:vertAlign w:val="baseline"/>
          <w:lang w:val="en-US" w:eastAsia="zh-CN" w:bidi="ar"/>
        </w:rPr>
        <w:t>辆，7座以上19座（含19座）以下客车</w:t>
      </w:r>
      <w:r>
        <w:rPr>
          <w:rFonts w:hint="default" w:ascii="Times New Roman" w:hAnsi="Times New Roman" w:eastAsia="仿宋_GB2312" w:cs="Times New Roman"/>
          <w:b w:val="0"/>
          <w:bCs w:val="0"/>
          <w:caps w:val="0"/>
          <w:color w:val="auto"/>
          <w:kern w:val="2"/>
          <w:sz w:val="32"/>
          <w:szCs w:val="32"/>
          <w:vertAlign w:val="baseline"/>
          <w:lang w:val="en-US" w:eastAsia="zh-CN" w:bidi="ar"/>
        </w:rPr>
        <w:t>0</w:t>
      </w:r>
      <w:r>
        <w:rPr>
          <w:rFonts w:hint="eastAsia" w:ascii="仿宋_GB2312" w:hAnsi="Calibri" w:eastAsia="仿宋_GB2312" w:cs="仿宋_GB2312"/>
          <w:b w:val="0"/>
          <w:bCs w:val="0"/>
          <w:caps w:val="0"/>
          <w:color w:val="auto"/>
          <w:kern w:val="2"/>
          <w:sz w:val="32"/>
          <w:szCs w:val="32"/>
          <w:vertAlign w:val="baseline"/>
          <w:lang w:val="en-US" w:eastAsia="zh-CN" w:bidi="ar"/>
        </w:rPr>
        <w:t>辆，越野车</w:t>
      </w:r>
      <w:r>
        <w:rPr>
          <w:rFonts w:hint="default" w:ascii="Times New Roman" w:hAnsi="Times New Roman" w:eastAsia="仿宋_GB2312" w:cs="Times New Roman"/>
          <w:b w:val="0"/>
          <w:bCs w:val="0"/>
          <w:caps w:val="0"/>
          <w:color w:val="auto"/>
          <w:kern w:val="2"/>
          <w:sz w:val="32"/>
          <w:szCs w:val="32"/>
          <w:vertAlign w:val="baseline"/>
          <w:lang w:val="en-US" w:eastAsia="zh-CN" w:bidi="ar"/>
        </w:rPr>
        <w:t>1</w:t>
      </w:r>
      <w:r>
        <w:rPr>
          <w:rFonts w:hint="eastAsia" w:ascii="仿宋_GB2312" w:hAnsi="Calibri" w:eastAsia="仿宋_GB2312" w:cs="仿宋_GB2312"/>
          <w:b w:val="0"/>
          <w:bCs w:val="0"/>
          <w:caps w:val="0"/>
          <w:color w:val="auto"/>
          <w:kern w:val="2"/>
          <w:sz w:val="32"/>
          <w:szCs w:val="32"/>
          <w:vertAlign w:val="baseline"/>
          <w:lang w:val="en-US" w:eastAsia="zh-CN" w:bidi="ar"/>
        </w:rPr>
        <w:t>辆，货车及19座以上客车</w:t>
      </w:r>
      <w:r>
        <w:rPr>
          <w:rFonts w:hint="default" w:ascii="Times New Roman" w:hAnsi="Times New Roman" w:eastAsia="仿宋_GB2312" w:cs="Times New Roman"/>
          <w:b w:val="0"/>
          <w:bCs w:val="0"/>
          <w:caps w:val="0"/>
          <w:color w:val="auto"/>
          <w:kern w:val="2"/>
          <w:sz w:val="32"/>
          <w:szCs w:val="32"/>
          <w:vertAlign w:val="baseline"/>
          <w:lang w:val="en-US" w:eastAsia="zh-CN" w:bidi="ar"/>
        </w:rPr>
        <w:t>0</w:t>
      </w:r>
      <w:r>
        <w:rPr>
          <w:rFonts w:hint="eastAsia" w:ascii="仿宋_GB2312" w:hAnsi="Calibri" w:eastAsia="仿宋_GB2312" w:cs="仿宋_GB2312"/>
          <w:b w:val="0"/>
          <w:bCs w:val="0"/>
          <w:caps w:val="0"/>
          <w:color w:val="auto"/>
          <w:kern w:val="2"/>
          <w:sz w:val="32"/>
          <w:szCs w:val="32"/>
          <w:vertAlign w:val="baseline"/>
          <w:lang w:val="en-US" w:eastAsia="zh-CN" w:bidi="ar"/>
        </w:rPr>
        <w:t>辆，摩托车</w:t>
      </w:r>
      <w:r>
        <w:rPr>
          <w:rFonts w:hint="default" w:ascii="Times New Roman" w:hAnsi="Times New Roman" w:eastAsia="仿宋_GB2312" w:cs="Times New Roman"/>
          <w:b w:val="0"/>
          <w:bCs w:val="0"/>
          <w:caps w:val="0"/>
          <w:color w:val="auto"/>
          <w:kern w:val="2"/>
          <w:sz w:val="32"/>
          <w:szCs w:val="32"/>
          <w:vertAlign w:val="baseline"/>
          <w:lang w:val="en-US" w:eastAsia="zh-CN" w:bidi="ar"/>
        </w:rPr>
        <w:t>0</w:t>
      </w:r>
      <w:r>
        <w:rPr>
          <w:rFonts w:hint="eastAsia" w:ascii="仿宋_GB2312" w:hAnsi="Calibri" w:eastAsia="仿宋_GB2312" w:cs="仿宋_GB2312"/>
          <w:b w:val="0"/>
          <w:bCs w:val="0"/>
          <w:caps w:val="0"/>
          <w:color w:val="auto"/>
          <w:kern w:val="2"/>
          <w:sz w:val="32"/>
          <w:szCs w:val="32"/>
          <w:vertAlign w:val="baseline"/>
          <w:lang w:val="en-US" w:eastAsia="zh-CN" w:bidi="ar"/>
        </w:rPr>
        <w:t>辆。</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600" w:lineRule="exact"/>
        <w:ind w:left="0" w:right="0" w:firstLine="640"/>
        <w:jc w:val="both"/>
        <w:outlineLvl w:val="9"/>
        <w:rPr>
          <w:rFonts w:hint="eastAsia" w:ascii="仿宋_GB2312" w:eastAsia="仿宋_GB2312" w:cs="仿宋_GB2312"/>
          <w:caps w:val="0"/>
          <w:color w:val="auto"/>
          <w:sz w:val="32"/>
          <w:szCs w:val="32"/>
          <w:vertAlign w:val="baseline"/>
        </w:rPr>
      </w:pPr>
      <w:r>
        <w:rPr>
          <w:rFonts w:hint="eastAsia" w:ascii="仿宋_GB2312" w:hAnsi="Calibri" w:eastAsia="仿宋_GB2312" w:cs="仿宋_GB2312"/>
          <w:b w:val="0"/>
          <w:bCs w:val="0"/>
          <w:caps w:val="0"/>
          <w:color w:val="auto"/>
          <w:kern w:val="2"/>
          <w:sz w:val="32"/>
          <w:szCs w:val="32"/>
          <w:vertAlign w:val="baseline"/>
          <w:lang w:val="en-US" w:eastAsia="zh-CN" w:bidi="ar"/>
        </w:rPr>
        <w:t>2021年安排公务用车运行维护费1.62万元，用于1辆公务用车燃油、维修、车辆通行等方面支出，主要保障退役军人事务等工作开展。</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600" w:lineRule="exact"/>
        <w:ind w:left="0" w:right="0" w:firstLine="640" w:firstLineChars="200"/>
        <w:jc w:val="both"/>
        <w:outlineLvl w:val="9"/>
        <w:rPr>
          <w:rFonts w:hint="eastAsia" w:ascii="仿宋_GB2312" w:eastAsia="仿宋_GB2312" w:cs="仿宋_GB2312"/>
          <w:caps w:val="0"/>
          <w:color w:val="auto"/>
          <w:sz w:val="32"/>
          <w:szCs w:val="32"/>
          <w:vertAlign w:val="baseline"/>
        </w:rPr>
      </w:pPr>
      <w:bookmarkStart w:id="36" w:name="_Toc1127235906_WPSOffice_Level1"/>
      <w:r>
        <w:rPr>
          <w:rFonts w:hint="eastAsia" w:ascii="黑体" w:hAnsi="宋体" w:eastAsia="黑体" w:cs="黑体"/>
          <w:b w:val="0"/>
          <w:bCs w:val="0"/>
          <w:caps w:val="0"/>
          <w:color w:val="auto"/>
          <w:kern w:val="2"/>
          <w:sz w:val="32"/>
          <w:szCs w:val="32"/>
          <w:vertAlign w:val="baseline"/>
          <w:lang w:val="en-US" w:eastAsia="zh-CN" w:bidi="ar"/>
        </w:rPr>
        <w:t>八、政府性基金预算支出情况说明</w:t>
      </w:r>
      <w:bookmarkEnd w:id="36"/>
    </w:p>
    <w:p>
      <w:pPr>
        <w:keepNext w:val="0"/>
        <w:keepLines w:val="0"/>
        <w:pageBreakBefore w:val="0"/>
        <w:widowControl w:val="0"/>
        <w:suppressLineNumbers w:val="0"/>
        <w:suppressAutoHyphens w:val="0"/>
        <w:kinsoku/>
        <w:wordWrap/>
        <w:overflowPunct/>
        <w:topLinePunct w:val="0"/>
        <w:autoSpaceDE/>
        <w:autoSpaceDN w:val="0"/>
        <w:bidi w:val="0"/>
        <w:adjustRightInd/>
        <w:snapToGrid w:val="0"/>
        <w:spacing w:before="0" w:beforeAutospacing="0" w:after="0" w:afterAutospacing="0" w:line="520" w:lineRule="exact"/>
        <w:ind w:left="0" w:right="0" w:firstLine="640" w:firstLineChars="200"/>
        <w:jc w:val="both"/>
        <w:outlineLvl w:val="9"/>
        <w:rPr>
          <w:rFonts w:hint="eastAsia" w:ascii="仿宋_GB2312" w:eastAsia="仿宋_GB2312" w:cs="仿宋_GB2312"/>
          <w:caps w:val="0"/>
          <w:color w:val="auto"/>
          <w:sz w:val="32"/>
          <w:szCs w:val="32"/>
          <w:vertAlign w:val="baseline"/>
        </w:rPr>
      </w:pPr>
      <w:r>
        <w:rPr>
          <w:rFonts w:hint="eastAsia" w:ascii="仿宋_GB2312" w:hAnsi="Calibri" w:eastAsia="仿宋_GB2312" w:cs="仿宋_GB2312"/>
          <w:b w:val="0"/>
          <w:bCs w:val="0"/>
          <w:caps w:val="0"/>
          <w:color w:val="auto"/>
          <w:kern w:val="2"/>
          <w:sz w:val="32"/>
          <w:szCs w:val="32"/>
          <w:vertAlign w:val="baseline"/>
          <w:lang w:val="en-US" w:eastAsia="zh-CN" w:bidi="ar"/>
        </w:rPr>
        <w:t>市退役军人局2021年没有使用政府性基金预算拨款安排的支出。</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600" w:lineRule="exact"/>
        <w:ind w:left="0" w:right="0" w:firstLine="640" w:firstLineChars="200"/>
        <w:jc w:val="both"/>
        <w:outlineLvl w:val="9"/>
        <w:rPr>
          <w:rFonts w:hint="eastAsia" w:ascii="黑体" w:hAnsi="宋体" w:eastAsia="黑体" w:cs="黑体"/>
          <w:caps w:val="0"/>
          <w:color w:val="auto"/>
          <w:sz w:val="32"/>
          <w:szCs w:val="32"/>
          <w:vertAlign w:val="baseline"/>
        </w:rPr>
      </w:pPr>
      <w:bookmarkStart w:id="37" w:name="_Toc10972804_WPSOffice_Level1"/>
      <w:r>
        <w:rPr>
          <w:rFonts w:hint="eastAsia" w:ascii="黑体" w:hAnsi="宋体" w:eastAsia="黑体" w:cs="黑体"/>
          <w:b w:val="0"/>
          <w:bCs w:val="0"/>
          <w:caps w:val="0"/>
          <w:color w:val="auto"/>
          <w:kern w:val="2"/>
          <w:sz w:val="32"/>
          <w:szCs w:val="32"/>
          <w:vertAlign w:val="baseline"/>
          <w:lang w:val="en-US" w:eastAsia="zh-CN" w:bidi="ar"/>
        </w:rPr>
        <w:t>九、其他重要事项的情况说明</w:t>
      </w:r>
      <w:bookmarkEnd w:id="37"/>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600" w:lineRule="exact"/>
        <w:ind w:left="0" w:right="0" w:firstLine="642" w:firstLineChars="200"/>
        <w:jc w:val="both"/>
        <w:outlineLvl w:val="9"/>
        <w:rPr>
          <w:rFonts w:hint="default" w:ascii="楷体_GB2312" w:eastAsia="楷体_GB2312" w:cs="楷体_GB2312"/>
          <w:b/>
          <w:caps w:val="0"/>
          <w:color w:val="auto"/>
          <w:sz w:val="32"/>
          <w:szCs w:val="32"/>
          <w:vertAlign w:val="baseline"/>
        </w:rPr>
      </w:pPr>
      <w:bookmarkStart w:id="38" w:name="_Toc1581388827_WPSOffice_Level2"/>
      <w:r>
        <w:rPr>
          <w:rFonts w:hint="default" w:ascii="楷体_GB2312" w:hAnsi="Calibri" w:eastAsia="楷体_GB2312" w:cs="楷体_GB2312"/>
          <w:b/>
          <w:bCs w:val="0"/>
          <w:caps w:val="0"/>
          <w:color w:val="auto"/>
          <w:kern w:val="2"/>
          <w:sz w:val="32"/>
          <w:szCs w:val="32"/>
          <w:vertAlign w:val="baseline"/>
          <w:lang w:val="en-US" w:eastAsia="zh-CN" w:bidi="ar"/>
        </w:rPr>
        <w:t>（一）机关运行经费</w:t>
      </w:r>
      <w:bookmarkEnd w:id="38"/>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600" w:lineRule="exact"/>
        <w:ind w:left="0" w:right="0" w:firstLine="640" w:firstLineChars="200"/>
        <w:jc w:val="both"/>
        <w:outlineLvl w:val="9"/>
        <w:rPr>
          <w:rFonts w:hint="eastAsia" w:ascii="仿宋_GB2312" w:eastAsia="仿宋_GB2312" w:cs="仿宋_GB2312"/>
          <w:caps w:val="0"/>
          <w:color w:val="auto"/>
          <w:sz w:val="32"/>
          <w:szCs w:val="32"/>
          <w:vertAlign w:val="baseline"/>
        </w:rPr>
      </w:pPr>
      <w:r>
        <w:rPr>
          <w:rFonts w:hint="eastAsia" w:ascii="仿宋_GB2312" w:hAnsi="Calibri" w:eastAsia="仿宋_GB2312" w:cs="仿宋_GB2312"/>
          <w:b w:val="0"/>
          <w:bCs w:val="0"/>
          <w:caps w:val="0"/>
          <w:color w:val="auto"/>
          <w:kern w:val="2"/>
          <w:sz w:val="32"/>
          <w:szCs w:val="32"/>
          <w:vertAlign w:val="baseline"/>
          <w:lang w:val="en-US" w:eastAsia="zh-CN" w:bidi="ar"/>
        </w:rPr>
        <w:t>2021年，市退役军人局机关运行经费财政拨款预算为</w:t>
      </w:r>
      <w:r>
        <w:rPr>
          <w:rFonts w:hint="default" w:ascii="Times New Roman" w:hAnsi="Times New Roman" w:eastAsia="仿宋_GB2312" w:cs="Times New Roman"/>
          <w:b w:val="0"/>
          <w:bCs w:val="0"/>
          <w:caps w:val="0"/>
          <w:color w:val="auto"/>
          <w:kern w:val="2"/>
          <w:sz w:val="32"/>
          <w:szCs w:val="32"/>
          <w:vertAlign w:val="baseline"/>
          <w:lang w:val="en-US" w:eastAsia="zh-CN" w:bidi="ar"/>
        </w:rPr>
        <w:t>48.54</w:t>
      </w:r>
      <w:r>
        <w:rPr>
          <w:rFonts w:hint="eastAsia" w:ascii="仿宋_GB2312" w:hAnsi="Calibri" w:eastAsia="仿宋_GB2312" w:cs="仿宋_GB2312"/>
          <w:b w:val="0"/>
          <w:bCs w:val="0"/>
          <w:caps w:val="0"/>
          <w:color w:val="auto"/>
          <w:kern w:val="2"/>
          <w:sz w:val="32"/>
          <w:szCs w:val="32"/>
          <w:vertAlign w:val="baseline"/>
          <w:lang w:val="en-US" w:eastAsia="zh-CN" w:bidi="ar"/>
        </w:rPr>
        <w:t>万元，比2020年预算增加</w:t>
      </w:r>
      <w:r>
        <w:rPr>
          <w:rFonts w:hint="default" w:ascii="Times New Roman" w:hAnsi="Times New Roman" w:eastAsia="仿宋_GB2312" w:cs="Times New Roman"/>
          <w:b w:val="0"/>
          <w:bCs w:val="0"/>
          <w:caps w:val="0"/>
          <w:color w:val="auto"/>
          <w:kern w:val="2"/>
          <w:sz w:val="32"/>
          <w:szCs w:val="32"/>
          <w:vertAlign w:val="baseline"/>
          <w:lang w:val="en-US" w:eastAsia="zh-CN" w:bidi="ar"/>
        </w:rPr>
        <w:t>6.75</w:t>
      </w:r>
      <w:r>
        <w:rPr>
          <w:rFonts w:hint="eastAsia" w:ascii="仿宋_GB2312" w:hAnsi="Calibri" w:eastAsia="仿宋_GB2312" w:cs="仿宋_GB2312"/>
          <w:b w:val="0"/>
          <w:bCs w:val="0"/>
          <w:caps w:val="0"/>
          <w:color w:val="auto"/>
          <w:kern w:val="2"/>
          <w:sz w:val="32"/>
          <w:szCs w:val="32"/>
          <w:vertAlign w:val="baseline"/>
          <w:lang w:val="en-US" w:eastAsia="zh-CN" w:bidi="ar"/>
        </w:rPr>
        <w:t>万元，增加</w:t>
      </w:r>
      <w:r>
        <w:rPr>
          <w:rFonts w:hint="default" w:ascii="Times New Roman" w:hAnsi="Times New Roman" w:eastAsia="仿宋_GB2312" w:cs="Times New Roman"/>
          <w:b w:val="0"/>
          <w:bCs w:val="0"/>
          <w:caps w:val="0"/>
          <w:color w:val="auto"/>
          <w:kern w:val="2"/>
          <w:sz w:val="32"/>
          <w:szCs w:val="32"/>
          <w:vertAlign w:val="baseline"/>
          <w:lang w:val="en-US" w:eastAsia="zh-CN" w:bidi="ar"/>
        </w:rPr>
        <w:t>16.15</w:t>
      </w:r>
      <w:r>
        <w:rPr>
          <w:rFonts w:hint="eastAsia" w:ascii="仿宋_GB2312" w:hAnsi="Calibri" w:eastAsia="仿宋_GB2312" w:cs="仿宋_GB2312"/>
          <w:b w:val="0"/>
          <w:bCs w:val="0"/>
          <w:caps w:val="0"/>
          <w:color w:val="auto"/>
          <w:kern w:val="2"/>
          <w:sz w:val="32"/>
          <w:szCs w:val="32"/>
          <w:vertAlign w:val="baseline"/>
          <w:lang w:val="en-US" w:eastAsia="zh-CN" w:bidi="ar"/>
        </w:rPr>
        <w:t>%，主要用于保障单位正常运转，包括办公费、水费、电费、印刷费、邮电费、差旅费、会议费等费用开支。</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600" w:lineRule="exact"/>
        <w:ind w:left="0" w:right="0" w:firstLine="472" w:firstLineChars="147"/>
        <w:jc w:val="both"/>
        <w:outlineLvl w:val="9"/>
        <w:rPr>
          <w:rFonts w:hint="default" w:ascii="楷体_GB2312" w:eastAsia="楷体_GB2312" w:cs="楷体_GB2312"/>
          <w:b/>
          <w:caps w:val="0"/>
          <w:color w:val="auto"/>
          <w:sz w:val="32"/>
          <w:szCs w:val="32"/>
          <w:vertAlign w:val="baseline"/>
        </w:rPr>
      </w:pPr>
      <w:bookmarkStart w:id="39" w:name="_Toc1691847074_WPSOffice_Level2"/>
      <w:r>
        <w:rPr>
          <w:rFonts w:hint="default" w:ascii="楷体_GB2312" w:hAnsi="Calibri" w:eastAsia="楷体_GB2312" w:cs="楷体_GB2312"/>
          <w:b/>
          <w:bCs w:val="0"/>
          <w:caps w:val="0"/>
          <w:color w:val="auto"/>
          <w:kern w:val="2"/>
          <w:sz w:val="32"/>
          <w:szCs w:val="32"/>
          <w:vertAlign w:val="baseline"/>
          <w:lang w:val="en-US" w:eastAsia="zh-CN" w:bidi="ar"/>
        </w:rPr>
        <w:t>（二）国有资产占有使用情况</w:t>
      </w:r>
      <w:bookmarkEnd w:id="39"/>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600" w:lineRule="exact"/>
        <w:ind w:left="0" w:right="0" w:firstLine="640" w:firstLineChars="200"/>
        <w:jc w:val="both"/>
        <w:outlineLvl w:val="9"/>
        <w:rPr>
          <w:rFonts w:hint="eastAsia" w:ascii="仿宋_GB2312" w:eastAsia="仿宋_GB2312" w:cs="仿宋_GB2312"/>
          <w:caps w:val="0"/>
          <w:color w:val="auto"/>
          <w:sz w:val="32"/>
          <w:szCs w:val="32"/>
          <w:vertAlign w:val="baseline"/>
        </w:rPr>
      </w:pPr>
      <w:r>
        <w:rPr>
          <w:rFonts w:hint="eastAsia" w:ascii="仿宋_GB2312" w:hAnsi="Calibri" w:eastAsia="仿宋_GB2312" w:cs="仿宋_GB2312"/>
          <w:b w:val="0"/>
          <w:bCs w:val="0"/>
          <w:caps w:val="0"/>
          <w:color w:val="auto"/>
          <w:kern w:val="2"/>
          <w:sz w:val="32"/>
          <w:szCs w:val="32"/>
          <w:vertAlign w:val="baseline"/>
          <w:lang w:val="en-US" w:eastAsia="zh-CN" w:bidi="ar"/>
        </w:rPr>
        <w:t>截至2020年底，</w:t>
      </w:r>
      <w:r>
        <w:rPr>
          <w:rFonts w:hint="eastAsia" w:ascii="Times New Roman" w:hAnsi="Calibri" w:eastAsia="仿宋_GB2312" w:cs="仿宋_GB2312"/>
          <w:b w:val="0"/>
          <w:bCs w:val="0"/>
          <w:caps w:val="0"/>
          <w:color w:val="auto"/>
          <w:kern w:val="2"/>
          <w:sz w:val="32"/>
          <w:szCs w:val="32"/>
          <w:vertAlign w:val="baseline"/>
          <w:lang w:val="en-US" w:eastAsia="zh-CN" w:bidi="ar"/>
        </w:rPr>
        <w:t>市退役军人事务局及</w:t>
      </w:r>
      <w:r>
        <w:rPr>
          <w:rFonts w:hint="eastAsia" w:ascii="仿宋_GB2312" w:hAnsi="Calibri" w:eastAsia="仿宋_GB2312" w:cs="仿宋_GB2312"/>
          <w:b w:val="0"/>
          <w:bCs w:val="0"/>
          <w:caps w:val="0"/>
          <w:color w:val="auto"/>
          <w:kern w:val="2"/>
          <w:sz w:val="32"/>
          <w:szCs w:val="32"/>
          <w:vertAlign w:val="baseline"/>
          <w:lang w:val="en-US" w:eastAsia="zh-CN" w:bidi="ar"/>
        </w:rPr>
        <w:t>所属的非独立核算单位共有车辆</w:t>
      </w:r>
      <w:r>
        <w:rPr>
          <w:rFonts w:hint="default" w:ascii="Times New Roman" w:hAnsi="Times New Roman" w:eastAsia="仿宋_GB2312" w:cs="Times New Roman"/>
          <w:b w:val="0"/>
          <w:bCs w:val="0"/>
          <w:caps w:val="0"/>
          <w:color w:val="auto"/>
          <w:kern w:val="2"/>
          <w:sz w:val="32"/>
          <w:szCs w:val="32"/>
          <w:vertAlign w:val="baseline"/>
          <w:lang w:val="en-US" w:eastAsia="zh-CN" w:bidi="ar"/>
        </w:rPr>
        <w:t>0</w:t>
      </w:r>
      <w:r>
        <w:rPr>
          <w:rFonts w:hint="eastAsia" w:ascii="仿宋_GB2312" w:hAnsi="Calibri" w:eastAsia="仿宋_GB2312" w:cs="仿宋_GB2312"/>
          <w:b w:val="0"/>
          <w:bCs w:val="0"/>
          <w:caps w:val="0"/>
          <w:color w:val="auto"/>
          <w:kern w:val="2"/>
          <w:sz w:val="32"/>
          <w:szCs w:val="32"/>
          <w:vertAlign w:val="baseline"/>
          <w:lang w:val="en-US" w:eastAsia="zh-CN" w:bidi="ar"/>
        </w:rPr>
        <w:t>辆。单位价值200万元以上大型设备0台。</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600" w:lineRule="exact"/>
        <w:ind w:left="0" w:right="0" w:firstLine="472" w:firstLineChars="147"/>
        <w:jc w:val="both"/>
        <w:outlineLvl w:val="9"/>
        <w:rPr>
          <w:rFonts w:hint="default" w:ascii="楷体_GB2312" w:eastAsia="楷体_GB2312" w:cs="楷体_GB2312"/>
          <w:b/>
          <w:caps w:val="0"/>
          <w:color w:val="auto"/>
          <w:sz w:val="32"/>
          <w:szCs w:val="32"/>
          <w:vertAlign w:val="baseline"/>
        </w:rPr>
      </w:pPr>
      <w:bookmarkStart w:id="40" w:name="_Toc313488517_WPSOffice_Level2"/>
      <w:r>
        <w:rPr>
          <w:rFonts w:hint="default" w:ascii="楷体_GB2312" w:hAnsi="Calibri" w:eastAsia="楷体_GB2312" w:cs="楷体_GB2312"/>
          <w:b/>
          <w:bCs w:val="0"/>
          <w:caps w:val="0"/>
          <w:color w:val="auto"/>
          <w:kern w:val="2"/>
          <w:sz w:val="32"/>
          <w:szCs w:val="32"/>
          <w:vertAlign w:val="baseline"/>
          <w:lang w:val="en-US" w:eastAsia="zh-CN" w:bidi="ar"/>
        </w:rPr>
        <w:t>（三）绩效目标设置情况</w:t>
      </w:r>
      <w:bookmarkEnd w:id="40"/>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600" w:lineRule="exact"/>
        <w:ind w:left="0" w:right="0" w:firstLine="640" w:firstLineChars="200"/>
        <w:jc w:val="both"/>
        <w:outlineLvl w:val="9"/>
        <w:rPr>
          <w:rFonts w:hint="eastAsia" w:ascii="仿宋_GB2312" w:eastAsia="仿宋_GB2312" w:cs="仿宋_GB2312"/>
          <w:caps w:val="0"/>
          <w:color w:val="auto"/>
          <w:sz w:val="32"/>
          <w:szCs w:val="32"/>
          <w:vertAlign w:val="baseline"/>
        </w:rPr>
      </w:pPr>
      <w:r>
        <w:rPr>
          <w:rFonts w:hint="eastAsia" w:ascii="仿宋_GB2312" w:hAnsi="Calibri" w:eastAsia="仿宋_GB2312" w:cs="仿宋_GB2312"/>
          <w:b w:val="0"/>
          <w:bCs w:val="0"/>
          <w:caps w:val="0"/>
          <w:color w:val="auto"/>
          <w:kern w:val="2"/>
          <w:sz w:val="32"/>
          <w:szCs w:val="32"/>
          <w:vertAlign w:val="baseline"/>
          <w:lang w:val="en-US" w:eastAsia="zh-CN" w:bidi="ar"/>
        </w:rPr>
        <w:t>2021年市退役军人事务局通用项目和专用项目均按要求实行绩效目标管理，涉及一般公共预算当年拨款</w:t>
      </w:r>
      <w:r>
        <w:rPr>
          <w:rFonts w:hint="default" w:ascii="Times New Roman" w:hAnsi="Times New Roman" w:eastAsia="仿宋_GB2312" w:cs="Times New Roman"/>
          <w:b w:val="0"/>
          <w:bCs w:val="0"/>
          <w:caps w:val="0"/>
          <w:color w:val="auto"/>
          <w:kern w:val="2"/>
          <w:sz w:val="32"/>
          <w:szCs w:val="32"/>
          <w:vertAlign w:val="baseline"/>
          <w:lang w:val="en-US" w:eastAsia="zh-CN" w:bidi="ar"/>
        </w:rPr>
        <w:t>98.00</w:t>
      </w:r>
      <w:r>
        <w:rPr>
          <w:rFonts w:hint="eastAsia" w:ascii="仿宋_GB2312" w:hAnsi="Calibri" w:eastAsia="仿宋_GB2312" w:cs="仿宋_GB2312"/>
          <w:b w:val="0"/>
          <w:bCs w:val="0"/>
          <w:caps w:val="0"/>
          <w:color w:val="auto"/>
          <w:kern w:val="2"/>
          <w:sz w:val="32"/>
          <w:szCs w:val="32"/>
          <w:vertAlign w:val="baseline"/>
          <w:lang w:val="en-US" w:eastAsia="zh-CN" w:bidi="ar"/>
        </w:rPr>
        <w:t>万元。</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600" w:lineRule="exact"/>
        <w:ind w:left="0" w:right="0" w:firstLine="640" w:firstLineChars="200"/>
        <w:jc w:val="both"/>
        <w:outlineLvl w:val="9"/>
        <w:rPr>
          <w:rFonts w:hint="eastAsia" w:ascii="黑体" w:hAnsi="宋体" w:eastAsia="黑体" w:cs="黑体"/>
          <w:caps w:val="0"/>
          <w:color w:val="auto"/>
          <w:sz w:val="32"/>
          <w:szCs w:val="32"/>
          <w:vertAlign w:val="baseline"/>
        </w:rPr>
      </w:pPr>
      <w:bookmarkStart w:id="41" w:name="_Toc818463443_WPSOffice_Level1"/>
      <w:r>
        <w:rPr>
          <w:rFonts w:hint="eastAsia" w:ascii="黑体" w:hAnsi="宋体" w:eastAsia="黑体" w:cs="黑体"/>
          <w:b w:val="0"/>
          <w:bCs w:val="0"/>
          <w:caps w:val="0"/>
          <w:color w:val="auto"/>
          <w:kern w:val="2"/>
          <w:sz w:val="32"/>
          <w:szCs w:val="32"/>
          <w:vertAlign w:val="baseline"/>
          <w:lang w:val="en-US" w:eastAsia="zh-CN" w:bidi="ar"/>
        </w:rPr>
        <w:t>十、政府采购安排情况说明</w:t>
      </w:r>
      <w:bookmarkEnd w:id="41"/>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600" w:lineRule="exact"/>
        <w:ind w:left="0" w:right="0" w:firstLine="640" w:firstLineChars="200"/>
        <w:jc w:val="both"/>
        <w:outlineLvl w:val="9"/>
        <w:rPr>
          <w:rFonts w:hint="default" w:ascii="Times New Roman" w:hAnsi="Times New Roman" w:eastAsia="仿宋_GB2312" w:cs="Times New Roman"/>
          <w:caps w:val="0"/>
          <w:color w:val="auto"/>
          <w:sz w:val="21"/>
          <w:szCs w:val="21"/>
          <w:vertAlign w:val="baseline"/>
        </w:rPr>
      </w:pPr>
      <w:r>
        <w:rPr>
          <w:rFonts w:hint="eastAsia" w:ascii="仿宋_GB2312" w:hAnsi="Calibri" w:eastAsia="仿宋_GB2312" w:cs="仿宋_GB2312"/>
          <w:b w:val="0"/>
          <w:bCs w:val="0"/>
          <w:caps w:val="0"/>
          <w:color w:val="auto"/>
          <w:kern w:val="2"/>
          <w:sz w:val="32"/>
          <w:szCs w:val="32"/>
          <w:vertAlign w:val="baseline"/>
          <w:lang w:val="en-US" w:eastAsia="zh-CN" w:bidi="ar"/>
        </w:rPr>
        <w:t xml:space="preserve">2021年攀枝花市退役军人事务局预算安排政府采购支出50万元，用于购买公务车一辆，为面向中小企业政府采购支出。   </w:t>
      </w:r>
      <w:r>
        <w:rPr>
          <w:rFonts w:hint="eastAsia" w:ascii="仿宋_GB2312" w:hAnsi="Calibri" w:eastAsia="宋体" w:cs="仿宋_GB2312"/>
          <w:b w:val="0"/>
          <w:bCs w:val="0"/>
          <w:caps w:val="0"/>
          <w:color w:val="auto"/>
          <w:kern w:val="2"/>
          <w:sz w:val="21"/>
          <w:szCs w:val="21"/>
          <w:vertAlign w:val="baseline"/>
          <w:lang w:val="en-US" w:eastAsia="zh-CN" w:bidi="ar"/>
        </w:rPr>
        <w:t xml:space="preserve">    </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600" w:lineRule="exact"/>
        <w:ind w:left="0" w:right="0" w:firstLine="640" w:firstLineChars="200"/>
        <w:jc w:val="both"/>
        <w:outlineLvl w:val="9"/>
        <w:rPr>
          <w:rFonts w:hint="eastAsia" w:ascii="仿宋_GB2312" w:eastAsia="仿宋_GB2312" w:cs="仿宋_GB2312"/>
          <w:caps w:val="0"/>
          <w:color w:val="auto"/>
          <w:sz w:val="32"/>
          <w:szCs w:val="32"/>
          <w:u w:val="single"/>
          <w:vertAlign w:val="baseline"/>
        </w:rPr>
      </w:pPr>
      <w:bookmarkStart w:id="42" w:name="_Toc112491473_WPSOffice_Level1"/>
      <w:r>
        <w:rPr>
          <w:rFonts w:hint="eastAsia" w:ascii="黑体" w:hAnsi="宋体" w:eastAsia="黑体" w:cs="黑体"/>
          <w:b w:val="0"/>
          <w:bCs w:val="0"/>
          <w:caps w:val="0"/>
          <w:color w:val="auto"/>
          <w:kern w:val="2"/>
          <w:sz w:val="32"/>
          <w:szCs w:val="32"/>
          <w:vertAlign w:val="baseline"/>
          <w:lang w:val="en-US" w:eastAsia="zh-CN" w:bidi="ar"/>
        </w:rPr>
        <w:t>十一、名词解释</w:t>
      </w:r>
      <w:bookmarkEnd w:id="42"/>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600" w:lineRule="exact"/>
        <w:ind w:left="0" w:right="0" w:firstLine="640" w:firstLineChars="200"/>
        <w:jc w:val="both"/>
        <w:outlineLvl w:val="9"/>
        <w:rPr>
          <w:rFonts w:hint="eastAsia" w:ascii="仿宋_GB2312" w:eastAsia="仿宋_GB2312" w:cs="仿宋_GB2312"/>
          <w:caps w:val="0"/>
          <w:color w:val="auto"/>
          <w:sz w:val="32"/>
          <w:szCs w:val="32"/>
          <w:vertAlign w:val="baseline"/>
        </w:rPr>
      </w:pPr>
      <w:r>
        <w:rPr>
          <w:rFonts w:hint="eastAsia" w:ascii="仿宋_GB2312" w:hAnsi="Calibri" w:eastAsia="仿宋_GB2312" w:cs="仿宋_GB2312"/>
          <w:b w:val="0"/>
          <w:bCs w:val="0"/>
          <w:caps w:val="0"/>
          <w:color w:val="auto"/>
          <w:kern w:val="2"/>
          <w:sz w:val="32"/>
          <w:szCs w:val="32"/>
          <w:vertAlign w:val="baseline"/>
          <w:lang w:val="en-US" w:eastAsia="zh-CN" w:bidi="ar"/>
        </w:rPr>
        <w:t>1.一般公共预算拨款收入：指市级财政当年拨付的资金。</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600" w:lineRule="exact"/>
        <w:ind w:left="0" w:right="0" w:firstLine="640" w:firstLineChars="200"/>
        <w:jc w:val="both"/>
        <w:outlineLvl w:val="9"/>
        <w:rPr>
          <w:rFonts w:hint="eastAsia" w:ascii="仿宋_GB2312" w:eastAsia="仿宋_GB2312" w:cs="仿宋_GB2312"/>
          <w:caps w:val="0"/>
          <w:color w:val="auto"/>
          <w:sz w:val="32"/>
          <w:szCs w:val="32"/>
          <w:vertAlign w:val="baseline"/>
        </w:rPr>
      </w:pPr>
      <w:r>
        <w:rPr>
          <w:rFonts w:hint="eastAsia" w:ascii="仿宋_GB2312" w:hAnsi="Calibri" w:eastAsia="仿宋_GB2312" w:cs="仿宋_GB2312"/>
          <w:b w:val="0"/>
          <w:bCs w:val="0"/>
          <w:caps w:val="0"/>
          <w:color w:val="auto"/>
          <w:kern w:val="2"/>
          <w:sz w:val="32"/>
          <w:szCs w:val="32"/>
          <w:vertAlign w:val="baseline"/>
          <w:lang w:val="en-US" w:eastAsia="zh-CN" w:bidi="ar"/>
        </w:rPr>
        <w:t>2.基本支出：指为保证机构正常运转，完成日常工作任务而发生的人员支出和公用支出。</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600" w:lineRule="exact"/>
        <w:ind w:left="0" w:right="0" w:firstLine="640" w:firstLineChars="200"/>
        <w:jc w:val="both"/>
        <w:outlineLvl w:val="9"/>
        <w:rPr>
          <w:rFonts w:hint="eastAsia" w:ascii="仿宋_GB2312" w:eastAsia="仿宋_GB2312" w:cs="仿宋_GB2312"/>
          <w:caps w:val="0"/>
          <w:color w:val="auto"/>
          <w:sz w:val="32"/>
          <w:szCs w:val="32"/>
          <w:vertAlign w:val="baseline"/>
        </w:rPr>
      </w:pPr>
      <w:r>
        <w:rPr>
          <w:rFonts w:hint="eastAsia" w:ascii="仿宋_GB2312" w:hAnsi="Calibri" w:eastAsia="仿宋_GB2312" w:cs="仿宋_GB2312"/>
          <w:b w:val="0"/>
          <w:bCs w:val="0"/>
          <w:caps w:val="0"/>
          <w:color w:val="auto"/>
          <w:kern w:val="2"/>
          <w:sz w:val="32"/>
          <w:szCs w:val="32"/>
          <w:vertAlign w:val="baseline"/>
          <w:lang w:val="en-US" w:eastAsia="zh-CN" w:bidi="ar"/>
        </w:rPr>
        <w:t>3.项目支出：指在基本支出之外为完成特定行政任务和事业发展目标所发生的支出。</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600" w:lineRule="exact"/>
        <w:ind w:left="0" w:right="0" w:firstLine="640" w:firstLineChars="200"/>
        <w:jc w:val="both"/>
        <w:outlineLvl w:val="9"/>
        <w:rPr>
          <w:rFonts w:hint="eastAsia" w:ascii="仿宋_GB2312" w:eastAsia="仿宋_GB2312" w:cs="仿宋_GB2312"/>
          <w:caps w:val="0"/>
          <w:color w:val="auto"/>
          <w:sz w:val="32"/>
          <w:szCs w:val="32"/>
          <w:vertAlign w:val="baseline"/>
        </w:rPr>
      </w:pPr>
      <w:r>
        <w:rPr>
          <w:rFonts w:hint="eastAsia" w:ascii="仿宋_GB2312" w:hAnsi="Calibri" w:eastAsia="仿宋_GB2312" w:cs="仿宋_GB2312"/>
          <w:b w:val="0"/>
          <w:bCs w:val="0"/>
          <w:caps w:val="0"/>
          <w:color w:val="auto"/>
          <w:kern w:val="2"/>
          <w:sz w:val="32"/>
          <w:szCs w:val="32"/>
          <w:vertAlign w:val="baseline"/>
          <w:lang w:val="en-US" w:eastAsia="zh-CN" w:bidi="ar"/>
        </w:rPr>
        <w:t>4.社会保障和就业（类）行政事业单位养老支出（款）机关事业单位基本养老保险缴费支出（项）：反映机关事业单位实施养老保险制度由单位实行缴纳的基本养老保险费支出。</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600" w:lineRule="exact"/>
        <w:ind w:left="0" w:right="0" w:firstLine="640" w:firstLineChars="200"/>
        <w:jc w:val="both"/>
        <w:outlineLvl w:val="9"/>
        <w:rPr>
          <w:rFonts w:hint="eastAsia" w:ascii="仿宋_GB2312" w:eastAsia="仿宋_GB2312" w:cs="仿宋_GB2312"/>
          <w:caps w:val="0"/>
          <w:color w:val="auto"/>
          <w:sz w:val="32"/>
          <w:szCs w:val="32"/>
          <w:vertAlign w:val="baseline"/>
        </w:rPr>
      </w:pPr>
      <w:r>
        <w:rPr>
          <w:rFonts w:hint="eastAsia" w:ascii="仿宋_GB2312" w:hAnsi="Calibri" w:eastAsia="仿宋_GB2312" w:cs="仿宋_GB2312"/>
          <w:b w:val="0"/>
          <w:bCs w:val="0"/>
          <w:caps w:val="0"/>
          <w:color w:val="auto"/>
          <w:kern w:val="2"/>
          <w:sz w:val="32"/>
          <w:szCs w:val="32"/>
          <w:vertAlign w:val="baseline"/>
          <w:lang w:val="en-US" w:eastAsia="zh-CN" w:bidi="ar"/>
        </w:rPr>
        <w:t>5.社会保障和就业（类）退役军人管理事务（款）行政运行（项）：反映行政单位（包括实行公务员管理的事业单位）的基本支出。</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600" w:lineRule="exact"/>
        <w:ind w:left="0" w:right="0" w:firstLine="640" w:firstLineChars="200"/>
        <w:jc w:val="both"/>
        <w:outlineLvl w:val="9"/>
        <w:rPr>
          <w:rFonts w:hint="eastAsia" w:ascii="仿宋_GB2312" w:eastAsia="仿宋_GB2312" w:cs="仿宋_GB2312"/>
          <w:caps w:val="0"/>
          <w:color w:val="auto"/>
          <w:sz w:val="32"/>
          <w:szCs w:val="32"/>
          <w:vertAlign w:val="baseline"/>
        </w:rPr>
      </w:pPr>
      <w:r>
        <w:rPr>
          <w:rFonts w:hint="eastAsia" w:ascii="仿宋_GB2312" w:hAnsi="Calibri" w:eastAsia="仿宋_GB2312" w:cs="仿宋_GB2312"/>
          <w:b w:val="0"/>
          <w:bCs w:val="0"/>
          <w:caps w:val="0"/>
          <w:color w:val="auto"/>
          <w:kern w:val="2"/>
          <w:sz w:val="32"/>
          <w:szCs w:val="32"/>
          <w:vertAlign w:val="baseline"/>
          <w:lang w:val="en-US" w:eastAsia="zh-CN" w:bidi="ar"/>
        </w:rPr>
        <w:t>6.住房保障支出（类）住房改革支出（款）住房公积金（项）：反映行政事业单位按人力资源和社会保障部、财政部规定的基本工资和津贴补贴以及规定比例为职工缴纳的住房公积金。</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600" w:lineRule="exact"/>
        <w:ind w:left="0" w:right="0" w:firstLine="640" w:firstLineChars="200"/>
        <w:jc w:val="both"/>
        <w:outlineLvl w:val="9"/>
        <w:rPr>
          <w:rFonts w:hint="eastAsia" w:ascii="仿宋_GB2312" w:eastAsia="仿宋_GB2312" w:cs="仿宋_GB2312"/>
          <w:caps w:val="0"/>
          <w:color w:val="auto"/>
          <w:sz w:val="32"/>
          <w:szCs w:val="32"/>
          <w:vertAlign w:val="baseline"/>
        </w:rPr>
      </w:pPr>
      <w:r>
        <w:rPr>
          <w:rFonts w:hint="eastAsia" w:ascii="仿宋_GB2312" w:hAnsi="Calibri" w:eastAsia="仿宋_GB2312" w:cs="仿宋_GB2312"/>
          <w:b w:val="0"/>
          <w:bCs w:val="0"/>
          <w:caps w:val="0"/>
          <w:color w:val="auto"/>
          <w:kern w:val="2"/>
          <w:sz w:val="32"/>
          <w:szCs w:val="32"/>
          <w:vertAlign w:val="baseline"/>
          <w:lang w:val="en-US" w:eastAsia="zh-CN" w:bidi="ar"/>
        </w:rPr>
        <w:t>７.社会保障和就业（类）退役军人管理事务（款）一般行政管理事务（项）:反映行政单位（包括实行公务员管理的事业单位）未单独设置项级科目的其他项目支出。</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600" w:lineRule="exact"/>
        <w:ind w:left="0" w:right="0" w:firstLine="640" w:firstLineChars="200"/>
        <w:jc w:val="both"/>
        <w:outlineLvl w:val="9"/>
        <w:rPr>
          <w:rFonts w:hint="eastAsia" w:ascii="仿宋_GB2312" w:eastAsia="仿宋_GB2312" w:cs="仿宋_GB2312"/>
          <w:caps w:val="0"/>
          <w:color w:val="auto"/>
          <w:sz w:val="32"/>
          <w:szCs w:val="32"/>
          <w:vertAlign w:val="baseline"/>
        </w:rPr>
      </w:pPr>
      <w:r>
        <w:rPr>
          <w:rFonts w:hint="eastAsia" w:ascii="仿宋_GB2312" w:hAnsi="Calibri" w:eastAsia="仿宋_GB2312" w:cs="仿宋_GB2312"/>
          <w:b w:val="0"/>
          <w:bCs w:val="0"/>
          <w:caps w:val="0"/>
          <w:color w:val="auto"/>
          <w:kern w:val="2"/>
          <w:sz w:val="32"/>
          <w:szCs w:val="32"/>
          <w:vertAlign w:val="baseline"/>
          <w:lang w:val="en-US" w:eastAsia="zh-CN" w:bidi="ar"/>
        </w:rPr>
        <w:t>８.社会保障和就业（类）退役军人管理事务（款）拥军优属（项）：反映开展拥军优属活动的支出。</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600" w:lineRule="exact"/>
        <w:ind w:left="0" w:right="0" w:firstLine="640" w:firstLineChars="200"/>
        <w:jc w:val="both"/>
        <w:outlineLvl w:val="9"/>
        <w:rPr>
          <w:rFonts w:hint="eastAsia" w:ascii="仿宋_GB2312" w:eastAsia="仿宋_GB2312" w:cs="仿宋_GB2312"/>
          <w:caps w:val="0"/>
          <w:color w:val="auto"/>
          <w:sz w:val="32"/>
          <w:szCs w:val="32"/>
          <w:vertAlign w:val="baseline"/>
        </w:rPr>
      </w:pPr>
      <w:r>
        <w:rPr>
          <w:rFonts w:hint="eastAsia" w:ascii="仿宋_GB2312" w:hAnsi="Calibri" w:eastAsia="仿宋_GB2312" w:cs="仿宋_GB2312"/>
          <w:b w:val="0"/>
          <w:bCs w:val="0"/>
          <w:caps w:val="0"/>
          <w:color w:val="auto"/>
          <w:kern w:val="2"/>
          <w:sz w:val="32"/>
          <w:szCs w:val="32"/>
          <w:vertAlign w:val="baseline"/>
          <w:lang w:val="en-US" w:eastAsia="zh-CN" w:bidi="ar"/>
        </w:rPr>
        <w:t>９.“三公”经费：纳入预决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600" w:lineRule="exact"/>
        <w:ind w:left="0" w:right="0" w:firstLine="640" w:firstLineChars="200"/>
        <w:jc w:val="both"/>
        <w:outlineLvl w:val="9"/>
        <w:rPr>
          <w:rFonts w:hint="eastAsia" w:ascii="仿宋_GB2312" w:eastAsia="仿宋_GB2312" w:cs="仿宋_GB2312"/>
          <w:caps w:val="0"/>
          <w:color w:val="auto"/>
          <w:sz w:val="32"/>
          <w:szCs w:val="32"/>
          <w:vertAlign w:val="baseline"/>
        </w:rPr>
      </w:pPr>
      <w:r>
        <w:rPr>
          <w:rFonts w:hint="eastAsia" w:ascii="仿宋_GB2312" w:hAnsi="Calibri" w:eastAsia="仿宋_GB2312" w:cs="仿宋_GB2312"/>
          <w:b w:val="0"/>
          <w:bCs w:val="0"/>
          <w:caps w:val="0"/>
          <w:color w:val="auto"/>
          <w:kern w:val="2"/>
          <w:sz w:val="32"/>
          <w:szCs w:val="32"/>
          <w:vertAlign w:val="baseline"/>
          <w:lang w:val="en-US" w:eastAsia="zh-CN" w:bidi="ar"/>
        </w:rPr>
        <w:t>10.机关运行费：为保障行政单位（包含参照公务员法管理的事业单位）运行用于购买货物和服务的各项资金。包括办公及办公费、水费、电费、印刷费、邮电费、差旅费、会议费等费用开支。</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600" w:lineRule="exact"/>
        <w:ind w:left="0" w:right="0" w:firstLine="640" w:firstLineChars="200"/>
        <w:jc w:val="both"/>
        <w:outlineLvl w:val="9"/>
        <w:rPr>
          <w:rFonts w:ascii="Arial" w:hAnsi="Arial" w:eastAsia="仿宋_GB2312" w:cs="Arial"/>
          <w:caps w:val="0"/>
          <w:color w:val="auto"/>
          <w:sz w:val="32"/>
          <w:szCs w:val="32"/>
          <w:vertAlign w:val="baseline"/>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600" w:lineRule="exact"/>
        <w:ind w:left="0" w:right="0" w:firstLine="0"/>
        <w:jc w:val="both"/>
        <w:outlineLvl w:val="9"/>
        <w:rPr>
          <w:rFonts w:hint="eastAsia" w:ascii="仿宋_GB2312" w:eastAsia="仿宋_GB2312" w:cs="仿宋_GB2312"/>
          <w:caps w:val="0"/>
          <w:color w:val="auto"/>
          <w:sz w:val="32"/>
          <w:szCs w:val="32"/>
          <w:vertAlign w:val="baseline"/>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600" w:lineRule="exact"/>
        <w:ind w:left="0" w:right="0" w:firstLine="0"/>
        <w:jc w:val="both"/>
        <w:outlineLvl w:val="9"/>
        <w:rPr>
          <w:rFonts w:hint="eastAsia" w:ascii="仿宋_GB2312" w:eastAsia="仿宋_GB2312" w:cs="仿宋_GB2312"/>
          <w:caps w:val="0"/>
          <w:color w:val="auto"/>
          <w:sz w:val="32"/>
          <w:szCs w:val="32"/>
          <w:vertAlign w:val="baseline"/>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600" w:lineRule="exact"/>
        <w:ind w:left="0" w:right="0" w:firstLine="0"/>
        <w:jc w:val="both"/>
        <w:outlineLvl w:val="9"/>
        <w:rPr>
          <w:rFonts w:hint="eastAsia" w:ascii="仿宋_GB2312" w:eastAsia="仿宋_GB2312" w:cs="仿宋_GB2312"/>
          <w:caps w:val="0"/>
          <w:color w:val="auto"/>
          <w:sz w:val="32"/>
          <w:szCs w:val="32"/>
          <w:vertAlign w:val="baseline"/>
        </w:rPr>
      </w:pPr>
      <w:r>
        <w:rPr>
          <w:rFonts w:hint="eastAsia" w:ascii="仿宋_GB2312" w:hAnsi="Calibri" w:eastAsia="仿宋_GB2312" w:cs="仿宋_GB2312"/>
          <w:b w:val="0"/>
          <w:bCs w:val="0"/>
          <w:caps w:val="0"/>
          <w:color w:val="auto"/>
          <w:kern w:val="2"/>
          <w:sz w:val="32"/>
          <w:szCs w:val="32"/>
          <w:vertAlign w:val="baseline"/>
          <w:lang w:val="en-US" w:eastAsia="zh-CN" w:bidi="ar"/>
        </w:rPr>
        <w:t xml:space="preserve">    附件：表1.单位收支总表</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600" w:lineRule="exact"/>
        <w:ind w:left="0" w:right="0" w:firstLine="0"/>
        <w:jc w:val="both"/>
        <w:outlineLvl w:val="9"/>
        <w:rPr>
          <w:rFonts w:hint="eastAsia" w:ascii="仿宋_GB2312" w:eastAsia="仿宋_GB2312" w:cs="仿宋_GB2312"/>
          <w:caps w:val="0"/>
          <w:color w:val="auto"/>
          <w:sz w:val="32"/>
          <w:szCs w:val="32"/>
          <w:vertAlign w:val="baseline"/>
        </w:rPr>
      </w:pPr>
      <w:r>
        <w:rPr>
          <w:rFonts w:hint="eastAsia" w:ascii="仿宋_GB2312" w:hAnsi="Calibri" w:eastAsia="仿宋_GB2312" w:cs="仿宋_GB2312"/>
          <w:b w:val="0"/>
          <w:bCs w:val="0"/>
          <w:caps w:val="0"/>
          <w:color w:val="auto"/>
          <w:kern w:val="2"/>
          <w:sz w:val="32"/>
          <w:szCs w:val="32"/>
          <w:vertAlign w:val="baseline"/>
          <w:lang w:val="en-US" w:eastAsia="zh-CN" w:bidi="ar"/>
        </w:rPr>
        <w:t xml:space="preserve">          表1-1.单位收入总表</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600" w:lineRule="exact"/>
        <w:ind w:left="0" w:right="0" w:firstLine="0"/>
        <w:jc w:val="both"/>
        <w:outlineLvl w:val="9"/>
        <w:rPr>
          <w:rFonts w:hint="eastAsia" w:ascii="仿宋_GB2312" w:eastAsia="仿宋_GB2312" w:cs="仿宋_GB2312"/>
          <w:caps w:val="0"/>
          <w:color w:val="auto"/>
          <w:sz w:val="32"/>
          <w:szCs w:val="32"/>
          <w:vertAlign w:val="baseline"/>
        </w:rPr>
      </w:pPr>
      <w:r>
        <w:rPr>
          <w:rFonts w:hint="eastAsia" w:ascii="仿宋_GB2312" w:hAnsi="Calibri" w:eastAsia="仿宋_GB2312" w:cs="仿宋_GB2312"/>
          <w:b w:val="0"/>
          <w:bCs w:val="0"/>
          <w:caps w:val="0"/>
          <w:color w:val="auto"/>
          <w:kern w:val="2"/>
          <w:sz w:val="32"/>
          <w:szCs w:val="32"/>
          <w:vertAlign w:val="baseline"/>
          <w:lang w:val="en-US" w:eastAsia="zh-CN" w:bidi="ar"/>
        </w:rPr>
        <w:t xml:space="preserve">          表1-2.单位支出总表</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600" w:lineRule="exact"/>
        <w:ind w:left="0" w:right="0" w:firstLine="0"/>
        <w:jc w:val="both"/>
        <w:outlineLvl w:val="9"/>
        <w:rPr>
          <w:rFonts w:hint="eastAsia" w:ascii="仿宋_GB2312" w:eastAsia="仿宋_GB2312" w:cs="仿宋_GB2312"/>
          <w:caps w:val="0"/>
          <w:color w:val="auto"/>
          <w:sz w:val="32"/>
          <w:szCs w:val="32"/>
          <w:vertAlign w:val="baseline"/>
        </w:rPr>
      </w:pPr>
      <w:r>
        <w:rPr>
          <w:rFonts w:hint="eastAsia" w:ascii="仿宋_GB2312" w:hAnsi="Calibri" w:eastAsia="仿宋_GB2312" w:cs="仿宋_GB2312"/>
          <w:b w:val="0"/>
          <w:bCs w:val="0"/>
          <w:caps w:val="0"/>
          <w:color w:val="auto"/>
          <w:kern w:val="2"/>
          <w:sz w:val="32"/>
          <w:szCs w:val="32"/>
          <w:vertAlign w:val="baseline"/>
          <w:lang w:val="en-US" w:eastAsia="zh-CN" w:bidi="ar"/>
        </w:rPr>
        <w:t xml:space="preserve">          表2.财政拨款收支预算总表</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600" w:lineRule="exact"/>
        <w:ind w:left="0" w:right="0" w:firstLine="0"/>
        <w:jc w:val="both"/>
        <w:outlineLvl w:val="9"/>
        <w:rPr>
          <w:rFonts w:hint="eastAsia" w:ascii="仿宋_GB2312" w:eastAsia="仿宋_GB2312" w:cs="仿宋_GB2312"/>
          <w:caps w:val="0"/>
          <w:color w:val="auto"/>
          <w:sz w:val="32"/>
          <w:szCs w:val="32"/>
          <w:vertAlign w:val="baseline"/>
        </w:rPr>
      </w:pPr>
      <w:r>
        <w:rPr>
          <w:rFonts w:hint="eastAsia" w:ascii="仿宋_GB2312" w:hAnsi="Calibri" w:eastAsia="仿宋_GB2312" w:cs="仿宋_GB2312"/>
          <w:b w:val="0"/>
          <w:bCs w:val="0"/>
          <w:caps w:val="0"/>
          <w:color w:val="auto"/>
          <w:kern w:val="2"/>
          <w:sz w:val="32"/>
          <w:szCs w:val="32"/>
          <w:vertAlign w:val="baseline"/>
          <w:lang w:val="en-US" w:eastAsia="zh-CN" w:bidi="ar"/>
        </w:rPr>
        <w:t xml:space="preserve">          表2-1.财政拨款支出预算表</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600" w:lineRule="exact"/>
        <w:ind w:left="0" w:right="0" w:firstLine="0"/>
        <w:jc w:val="both"/>
        <w:outlineLvl w:val="9"/>
        <w:rPr>
          <w:rFonts w:hint="eastAsia" w:ascii="仿宋_GB2312" w:eastAsia="仿宋_GB2312" w:cs="仿宋_GB2312"/>
          <w:caps w:val="0"/>
          <w:color w:val="auto"/>
          <w:sz w:val="32"/>
          <w:szCs w:val="32"/>
          <w:vertAlign w:val="baseline"/>
        </w:rPr>
      </w:pPr>
      <w:r>
        <w:rPr>
          <w:rFonts w:hint="eastAsia" w:ascii="仿宋_GB2312" w:hAnsi="Calibri" w:eastAsia="仿宋_GB2312" w:cs="仿宋_GB2312"/>
          <w:b w:val="0"/>
          <w:bCs w:val="0"/>
          <w:caps w:val="0"/>
          <w:color w:val="auto"/>
          <w:kern w:val="2"/>
          <w:sz w:val="32"/>
          <w:szCs w:val="32"/>
          <w:vertAlign w:val="baseline"/>
          <w:lang w:val="en-US" w:eastAsia="zh-CN" w:bidi="ar"/>
        </w:rPr>
        <w:t xml:space="preserve">          表3.一般公共预算支出预算表</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600" w:lineRule="exact"/>
        <w:ind w:left="0" w:right="0" w:firstLine="0"/>
        <w:jc w:val="both"/>
        <w:outlineLvl w:val="9"/>
        <w:rPr>
          <w:rFonts w:hint="eastAsia" w:ascii="仿宋_GB2312" w:eastAsia="仿宋_GB2312" w:cs="仿宋_GB2312"/>
          <w:caps w:val="0"/>
          <w:color w:val="auto"/>
          <w:sz w:val="32"/>
          <w:szCs w:val="32"/>
          <w:vertAlign w:val="baseline"/>
        </w:rPr>
      </w:pPr>
      <w:r>
        <w:rPr>
          <w:rFonts w:hint="eastAsia" w:ascii="仿宋_GB2312" w:hAnsi="Calibri" w:eastAsia="仿宋_GB2312" w:cs="仿宋_GB2312"/>
          <w:b w:val="0"/>
          <w:bCs w:val="0"/>
          <w:caps w:val="0"/>
          <w:color w:val="auto"/>
          <w:kern w:val="2"/>
          <w:sz w:val="32"/>
          <w:szCs w:val="32"/>
          <w:vertAlign w:val="baseline"/>
          <w:lang w:val="en-US" w:eastAsia="zh-CN" w:bidi="ar"/>
        </w:rPr>
        <w:t xml:space="preserve">          表3-1.一般公共预算基本支出预算表</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600" w:lineRule="exact"/>
        <w:ind w:left="0" w:right="0" w:firstLine="0"/>
        <w:jc w:val="both"/>
        <w:outlineLvl w:val="9"/>
        <w:rPr>
          <w:rFonts w:hint="eastAsia" w:ascii="仿宋_GB2312" w:eastAsia="仿宋_GB2312" w:cs="仿宋_GB2312"/>
          <w:caps w:val="0"/>
          <w:color w:val="auto"/>
          <w:sz w:val="32"/>
          <w:szCs w:val="32"/>
          <w:vertAlign w:val="baseline"/>
        </w:rPr>
      </w:pPr>
      <w:r>
        <w:rPr>
          <w:rFonts w:hint="eastAsia" w:ascii="仿宋_GB2312" w:hAnsi="Calibri" w:eastAsia="仿宋_GB2312" w:cs="仿宋_GB2312"/>
          <w:b w:val="0"/>
          <w:bCs w:val="0"/>
          <w:caps w:val="0"/>
          <w:color w:val="auto"/>
          <w:kern w:val="2"/>
          <w:sz w:val="32"/>
          <w:szCs w:val="32"/>
          <w:vertAlign w:val="baseline"/>
          <w:lang w:val="en-US" w:eastAsia="zh-CN" w:bidi="ar"/>
        </w:rPr>
        <w:t xml:space="preserve">          表3-2.一般公共预算项目支出预算表</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600" w:lineRule="exact"/>
        <w:ind w:left="0" w:right="0" w:firstLine="0"/>
        <w:jc w:val="both"/>
        <w:outlineLvl w:val="9"/>
        <w:rPr>
          <w:rFonts w:hint="eastAsia" w:ascii="仿宋_GB2312" w:eastAsia="仿宋_GB2312" w:cs="仿宋_GB2312"/>
          <w:caps w:val="0"/>
          <w:color w:val="auto"/>
          <w:sz w:val="32"/>
          <w:szCs w:val="32"/>
          <w:vertAlign w:val="baseline"/>
        </w:rPr>
      </w:pPr>
      <w:r>
        <w:rPr>
          <w:rFonts w:hint="eastAsia" w:ascii="仿宋_GB2312" w:hAnsi="Calibri" w:eastAsia="仿宋_GB2312" w:cs="仿宋_GB2312"/>
          <w:b w:val="0"/>
          <w:bCs w:val="0"/>
          <w:caps w:val="0"/>
          <w:color w:val="auto"/>
          <w:kern w:val="2"/>
          <w:sz w:val="32"/>
          <w:szCs w:val="32"/>
          <w:vertAlign w:val="baseline"/>
          <w:lang w:val="en-US" w:eastAsia="zh-CN" w:bidi="ar"/>
        </w:rPr>
        <w:t xml:space="preserve">          表3-3.一般公共预算“三公”经费支出预算表</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600" w:lineRule="exact"/>
        <w:ind w:left="0" w:right="0" w:firstLine="0"/>
        <w:jc w:val="both"/>
        <w:outlineLvl w:val="9"/>
        <w:rPr>
          <w:rFonts w:hint="eastAsia" w:ascii="仿宋_GB2312" w:eastAsia="仿宋_GB2312" w:cs="仿宋_GB2312"/>
          <w:caps w:val="0"/>
          <w:color w:val="auto"/>
          <w:sz w:val="32"/>
          <w:szCs w:val="32"/>
          <w:vertAlign w:val="baseline"/>
        </w:rPr>
      </w:pPr>
      <w:r>
        <w:rPr>
          <w:rFonts w:hint="eastAsia" w:ascii="仿宋_GB2312" w:hAnsi="Calibri" w:eastAsia="仿宋_GB2312" w:cs="仿宋_GB2312"/>
          <w:b w:val="0"/>
          <w:bCs w:val="0"/>
          <w:caps w:val="0"/>
          <w:color w:val="auto"/>
          <w:kern w:val="2"/>
          <w:sz w:val="32"/>
          <w:szCs w:val="32"/>
          <w:vertAlign w:val="baseline"/>
          <w:lang w:val="en-US" w:eastAsia="zh-CN" w:bidi="ar"/>
        </w:rPr>
        <w:t xml:space="preserve">          表4.政府性基金支出预算表</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600" w:lineRule="exact"/>
        <w:ind w:left="0" w:right="0" w:firstLine="0"/>
        <w:jc w:val="both"/>
        <w:outlineLvl w:val="9"/>
        <w:rPr>
          <w:rFonts w:hint="eastAsia" w:ascii="仿宋_GB2312" w:eastAsia="仿宋_GB2312" w:cs="仿宋_GB2312"/>
          <w:caps w:val="0"/>
          <w:color w:val="auto"/>
          <w:sz w:val="32"/>
          <w:szCs w:val="32"/>
          <w:vertAlign w:val="baseline"/>
        </w:rPr>
      </w:pPr>
      <w:r>
        <w:rPr>
          <w:rFonts w:hint="eastAsia" w:ascii="仿宋_GB2312" w:hAnsi="Calibri" w:eastAsia="仿宋_GB2312" w:cs="仿宋_GB2312"/>
          <w:b w:val="0"/>
          <w:bCs w:val="0"/>
          <w:caps w:val="0"/>
          <w:color w:val="auto"/>
          <w:kern w:val="2"/>
          <w:sz w:val="32"/>
          <w:szCs w:val="32"/>
          <w:vertAlign w:val="baseline"/>
          <w:lang w:val="en-US" w:eastAsia="zh-CN" w:bidi="ar"/>
        </w:rPr>
        <w:t xml:space="preserve">          表4-1.政府性基金预算“三公”经费支出预算表</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600" w:lineRule="exact"/>
        <w:ind w:left="0" w:right="0" w:firstLine="0"/>
        <w:jc w:val="both"/>
        <w:outlineLvl w:val="9"/>
        <w:rPr>
          <w:rFonts w:hint="eastAsia" w:ascii="仿宋_GB2312" w:eastAsia="仿宋_GB2312" w:cs="仿宋_GB2312"/>
          <w:caps w:val="0"/>
          <w:color w:val="auto"/>
          <w:sz w:val="32"/>
          <w:szCs w:val="32"/>
          <w:vertAlign w:val="baseline"/>
        </w:rPr>
      </w:pPr>
      <w:r>
        <w:rPr>
          <w:rFonts w:hint="eastAsia" w:ascii="仿宋_GB2312" w:hAnsi="Calibri" w:eastAsia="仿宋_GB2312" w:cs="仿宋_GB2312"/>
          <w:b w:val="0"/>
          <w:bCs w:val="0"/>
          <w:caps w:val="0"/>
          <w:color w:val="auto"/>
          <w:kern w:val="2"/>
          <w:sz w:val="32"/>
          <w:szCs w:val="32"/>
          <w:vertAlign w:val="baseline"/>
          <w:lang w:val="en-US" w:eastAsia="zh-CN" w:bidi="ar"/>
        </w:rPr>
        <w:t xml:space="preserve">          表5.国有资本经营预算支出预算表</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600" w:lineRule="exact"/>
        <w:ind w:left="0" w:right="0" w:firstLine="960" w:firstLineChars="300"/>
        <w:jc w:val="both"/>
        <w:outlineLvl w:val="9"/>
        <w:rPr>
          <w:rFonts w:hint="eastAsia" w:ascii="仿宋_GB2312" w:eastAsia="仿宋_GB2312" w:cs="仿宋_GB2312"/>
          <w:caps w:val="0"/>
          <w:color w:val="auto"/>
          <w:sz w:val="32"/>
          <w:szCs w:val="32"/>
          <w:vertAlign w:val="baseline"/>
        </w:rPr>
      </w:pPr>
      <w:r>
        <w:rPr>
          <w:rFonts w:hint="eastAsia" w:ascii="仿宋_GB2312" w:hAnsi="Calibri" w:eastAsia="仿宋_GB2312" w:cs="仿宋_GB2312"/>
          <w:b w:val="0"/>
          <w:bCs w:val="0"/>
          <w:caps w:val="0"/>
          <w:color w:val="auto"/>
          <w:kern w:val="2"/>
          <w:sz w:val="32"/>
          <w:szCs w:val="32"/>
          <w:vertAlign w:val="baseline"/>
          <w:lang w:val="en-US" w:eastAsia="zh-CN" w:bidi="ar"/>
        </w:rPr>
        <w:t xml:space="preserve">    表6.单位预算项目绩效目标表</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600" w:lineRule="exact"/>
        <w:ind w:left="630" w:leftChars="300" w:right="0" w:firstLine="0"/>
        <w:jc w:val="both"/>
        <w:outlineLvl w:val="9"/>
        <w:rPr>
          <w:rFonts w:hint="eastAsia" w:ascii="仿宋_GB2312" w:eastAsia="仿宋_GB2312" w:cs="仿宋_GB2312"/>
          <w:caps w:val="0"/>
          <w:color w:val="auto"/>
          <w:sz w:val="32"/>
          <w:szCs w:val="32"/>
          <w:vertAlign w:val="baseline"/>
        </w:rPr>
      </w:pPr>
      <w:r>
        <w:rPr>
          <w:rFonts w:hint="eastAsia" w:ascii="仿宋_GB2312" w:hAnsi="Calibri" w:eastAsia="仿宋_GB2312" w:cs="仿宋_GB2312"/>
          <w:b w:val="0"/>
          <w:bCs w:val="0"/>
          <w:caps w:val="0"/>
          <w:color w:val="auto"/>
          <w:kern w:val="2"/>
          <w:sz w:val="32"/>
          <w:szCs w:val="32"/>
          <w:vertAlign w:val="baseline"/>
          <w:lang w:val="en-US" w:eastAsia="zh-CN" w:bidi="ar"/>
        </w:rPr>
        <w:t xml:space="preserve">    　表7.单位预算项目绩效目标表</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600" w:lineRule="exact"/>
        <w:ind w:left="0" w:right="0" w:firstLine="960" w:firstLineChars="300"/>
        <w:jc w:val="both"/>
        <w:outlineLvl w:val="9"/>
        <w:rPr>
          <w:rFonts w:hint="eastAsia" w:ascii="仿宋_GB2312" w:eastAsia="仿宋_GB2312" w:cs="仿宋_GB2312"/>
          <w:caps w:val="0"/>
          <w:color w:val="auto"/>
          <w:sz w:val="32"/>
          <w:szCs w:val="32"/>
          <w:vertAlign w:val="baseline"/>
        </w:rPr>
      </w:pPr>
      <w:r>
        <w:rPr>
          <w:rFonts w:hint="eastAsia" w:ascii="仿宋_GB2312" w:hAnsi="Calibri" w:eastAsia="仿宋_GB2312" w:cs="仿宋_GB2312"/>
          <w:b w:val="0"/>
          <w:bCs w:val="0"/>
          <w:caps w:val="0"/>
          <w:color w:val="auto"/>
          <w:kern w:val="2"/>
          <w:sz w:val="32"/>
          <w:szCs w:val="32"/>
          <w:vertAlign w:val="baseline"/>
          <w:lang w:val="en-US" w:eastAsia="zh-CN" w:bidi="ar"/>
        </w:rPr>
        <w:t xml:space="preserve">    表8.单位预算项目绩效目标表</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600" w:lineRule="exact"/>
        <w:ind w:left="0" w:right="0" w:firstLine="960" w:firstLineChars="300"/>
        <w:jc w:val="both"/>
        <w:outlineLvl w:val="9"/>
        <w:rPr>
          <w:rFonts w:hint="eastAsia" w:ascii="仿宋_GB2312" w:eastAsia="仿宋_GB2312" w:cs="仿宋_GB2312"/>
          <w:caps w:val="0"/>
          <w:color w:val="auto"/>
          <w:sz w:val="32"/>
          <w:szCs w:val="32"/>
          <w:u w:val="single"/>
          <w:vertAlign w:val="baseline"/>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Calibri"/>
          <w:caps w:val="0"/>
          <w:color w:val="auto"/>
          <w:sz w:val="21"/>
          <w:szCs w:val="21"/>
          <w:vertAlign w:val="baseline"/>
        </w:rPr>
      </w:pPr>
    </w:p>
    <w:p/>
    <w:sectPr>
      <w:pgSz w:w="11906" w:h="16838"/>
      <w:pgMar w:top="1440" w:right="1800" w:bottom="1440" w:left="1800" w:header="851" w:footer="992" w:gutter="0"/>
      <w:paperSrc/>
      <w:pgBorders w:offsetFrom="page">
        <w:top w:val="none" w:sz="0" w:space="0"/>
        <w:left w:val="none" w:sz="0" w:space="0"/>
        <w:bottom w:val="none" w:sz="0" w:space="0"/>
        <w:right w:val="none" w:sz="0" w:space="0"/>
      </w:pgBorders>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altName w:val="楷体"/>
    <w:panose1 w:val="00000000000000000000"/>
    <w:charset w:val="00"/>
    <w:family w:val="auto"/>
    <w:pitch w:val="default"/>
    <w:sig w:usb0="00000000" w:usb1="00000000" w:usb2="00000000" w:usb3="00000000" w:csb0="00040001" w:csb1="00000000"/>
  </w:font>
  <w:font w:name="Arial">
    <w:altName w:val="Nimbus Roman No9 L"/>
    <w:panose1 w:val="020B0604020202020204"/>
    <w:charset w:val="00"/>
    <w:family w:val="auto"/>
    <w:pitch w:val="default"/>
    <w:sig w:usb0="E0002AFF" w:usb1="C0007843" w:usb2="00000009" w:usb3="00000000" w:csb0="400001FF" w:csb1="FFFF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Microsoft YaHei">
    <w:altName w:val="黑体"/>
    <w:panose1 w:val="00000000000000000000"/>
    <w:charset w:val="00"/>
    <w:family w:val="auto"/>
    <w:pitch w:val="default"/>
    <w:sig w:usb0="00000000" w:usb1="00000000" w:usb2="00000000" w:usb3="00000000" w:csb0="00000000" w:csb1="00000000"/>
  </w:font>
  <w:font w:name="Tahoma">
    <w:altName w:val="Droid Sans"/>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dmNTY2MjA0MmRjZDlhYzNlY2E1MTM5NjBkNDg2ZDYifQ=="/>
  </w:docVars>
  <w:rsids>
    <w:rsidRoot w:val="00000000"/>
    <w:rsid w:val="0B7967F6"/>
    <w:rsid w:val="3EAB0813"/>
    <w:rsid w:val="52F6152A"/>
    <w:rsid w:val="D5FB06F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Style w:val="3"/>
      <w:tblCellMar>
        <w:top w:w="0" w:type="dxa"/>
        <w:left w:w="108" w:type="dxa"/>
        <w:bottom w:w="0" w:type="dxa"/>
        <w:right w:w="108" w:type="dxa"/>
      </w:tblCellMar>
    </w:tblPr>
  </w:style>
  <w:style w:type="paragraph" w:styleId="2">
    <w:name w:val="Body Text"/>
    <w:basedOn w:val="1"/>
    <w:uiPriority w:val="0"/>
    <w:pPr>
      <w:keepNext w:val="0"/>
      <w:keepLines w:val="0"/>
      <w:widowControl w:val="0"/>
      <w:suppressLineNumbers w:val="0"/>
      <w:spacing w:before="131" w:beforeAutospacing="0" w:after="0" w:afterAutospacing="0" w:line="240" w:lineRule="auto"/>
      <w:ind w:left="0" w:firstLine="0"/>
      <w:jc w:val="both"/>
    </w:pPr>
    <w:rPr>
      <w:rFonts w:ascii="仿宋_GB2312" w:hAnsi="宋体" w:eastAsia="仿宋_GB2312" w:cs="仿宋_GB2312"/>
      <w:kern w:val="2"/>
      <w:sz w:val="30"/>
      <w:szCs w:val="32"/>
      <w:lang w:val="en-US" w:eastAsia="zh-CN" w:bidi="ar"/>
    </w:rPr>
  </w:style>
  <w:style w:type="character" w:styleId="5">
    <w:name w:val="Hyperlink"/>
    <w:basedOn w:val="4"/>
    <w:uiPriority w:val="0"/>
    <w:rPr>
      <w:color w:val="0000FF"/>
      <w:u w:val="single"/>
    </w:rPr>
  </w:style>
  <w:style w:type="paragraph" w:customStyle="1" w:styleId="6">
    <w:name w:val="WPSOffice手动目录 2"/>
    <w:basedOn w:val="1"/>
    <w:uiPriority w:val="0"/>
    <w:pPr>
      <w:keepNext w:val="0"/>
      <w:keepLines w:val="0"/>
      <w:widowControl/>
      <w:suppressLineNumbers w:val="0"/>
      <w:spacing w:before="0" w:beforeAutospacing="0" w:after="0" w:afterAutospacing="0" w:line="240" w:lineRule="auto"/>
      <w:ind w:left="420" w:leftChars="200" w:firstLine="0"/>
      <w:jc w:val="left"/>
    </w:pPr>
    <w:rPr>
      <w:rFonts w:hint="default" w:ascii="Times New Roman" w:hAnsi="Times New Roman" w:eastAsia="宋体" w:cs="Times New Roman"/>
      <w:kern w:val="0"/>
      <w:sz w:val="20"/>
      <w:szCs w:val="20"/>
      <w:lang w:val="en-US" w:eastAsia="zh-CN" w:bidi="ar"/>
    </w:rPr>
  </w:style>
  <w:style w:type="paragraph" w:customStyle="1" w:styleId="7">
    <w:name w:val="WPSOffice手动目录 1"/>
    <w:basedOn w:val="1"/>
    <w:uiPriority w:val="0"/>
    <w:pPr>
      <w:keepNext w:val="0"/>
      <w:keepLines w:val="0"/>
      <w:widowControl/>
      <w:suppressLineNumbers w:val="0"/>
      <w:spacing w:before="0" w:beforeAutospacing="0" w:after="0" w:afterAutospacing="0" w:line="240" w:lineRule="auto"/>
      <w:ind w:left="0" w:firstLine="0"/>
      <w:jc w:val="left"/>
    </w:pPr>
    <w:rPr>
      <w:rFonts w:hint="default" w:ascii="Times New Roman" w:hAnsi="Times New Roman" w:eastAsia="宋体" w:cs="Times New Roman"/>
      <w:kern w:val="0"/>
      <w:sz w:val="20"/>
      <w:szCs w:val="20"/>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4434</Words>
  <Characters>4790</Characters>
  <Lines>0</Lines>
  <Paragraphs>0</Paragraphs>
  <TotalTime>0</TotalTime>
  <ScaleCrop>false</ScaleCrop>
  <LinksUpToDate>false</LinksUpToDate>
  <CharactersWithSpaces>4955</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2014-10-30T04:08:00Z</dcterms:created>
  <dc:creator>Administrator</dc:creator>
  <cp:lastModifiedBy>user</cp:lastModifiedBy>
  <dcterms:modified xsi:type="dcterms:W3CDTF">2022-07-19T15:17:11Z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y fmtid="{D5CDD505-2E9C-101B-9397-08002B2CF9AE}" pid="3" name="ICV">
    <vt:lpwstr>78EF0AE9B99D4FB7AC3D5C4535CD8C8A</vt:lpwstr>
  </property>
</Properties>
</file>