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60" w:lineRule="atLeast"/>
        <w:ind w:left="0" w:right="0"/>
        <w:jc w:val="center"/>
        <w:textAlignment w:val="baseline"/>
        <w:rPr>
          <w:sz w:val="32"/>
          <w:szCs w:val="32"/>
        </w:rPr>
      </w:pPr>
      <w:r>
        <w:rPr>
          <w:rStyle w:val="7"/>
          <w:sz w:val="36"/>
          <w:szCs w:val="36"/>
          <w:vertAlign w:val="baseline"/>
        </w:rPr>
        <w:t>逐月领取退役金退役军人服务管理规定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60" w:lineRule="atLeast"/>
        <w:ind w:left="0" w:right="0"/>
        <w:jc w:val="center"/>
        <w:textAlignment w:val="baseline"/>
        <w:rPr>
          <w:sz w:val="32"/>
          <w:szCs w:val="32"/>
        </w:rPr>
      </w:pPr>
      <w:r>
        <w:rPr>
          <w:sz w:val="28"/>
          <w:szCs w:val="28"/>
          <w:vertAlign w:val="baseline"/>
        </w:rPr>
        <w:t>退役军人部发〔2022〕43号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60" w:lineRule="atLeast"/>
        <w:ind w:left="0" w:right="0"/>
        <w:jc w:val="center"/>
        <w:textAlignment w:val="baseline"/>
        <w:rPr>
          <w:sz w:val="32"/>
          <w:szCs w:val="32"/>
        </w:rPr>
      </w:pPr>
      <w:r>
        <w:rPr>
          <w:rStyle w:val="7"/>
          <w:sz w:val="32"/>
          <w:szCs w:val="32"/>
          <w:vertAlign w:val="baseline"/>
        </w:rPr>
        <w:t>第一章　总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60" w:lineRule="atLeast"/>
        <w:ind w:left="0" w:right="0"/>
        <w:jc w:val="both"/>
        <w:textAlignment w:val="baseline"/>
        <w:rPr>
          <w:sz w:val="32"/>
          <w:szCs w:val="32"/>
        </w:rPr>
      </w:pPr>
      <w:r>
        <w:rPr>
          <w:sz w:val="32"/>
          <w:szCs w:val="32"/>
          <w:vertAlign w:val="baseline"/>
        </w:rPr>
        <w:t>　　</w:t>
      </w:r>
      <w:r>
        <w:rPr>
          <w:rStyle w:val="7"/>
          <w:sz w:val="32"/>
          <w:szCs w:val="32"/>
          <w:vertAlign w:val="baseline"/>
        </w:rPr>
        <w:t>第一条</w:t>
      </w:r>
      <w:r>
        <w:rPr>
          <w:sz w:val="32"/>
          <w:szCs w:val="32"/>
          <w:vertAlign w:val="baseline"/>
        </w:rPr>
        <w:t>　为规范逐月领取退役金退役军人服务管理工作，根据《中华人民共和国退役军人保障法》、《退役军人逐月领取退役金安置办法》等法律政策，制定本规定。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60" w:lineRule="atLeast"/>
        <w:ind w:left="0" w:right="0"/>
        <w:jc w:val="both"/>
        <w:textAlignment w:val="baseline"/>
        <w:rPr>
          <w:sz w:val="32"/>
          <w:szCs w:val="32"/>
        </w:rPr>
      </w:pPr>
      <w:r>
        <w:rPr>
          <w:sz w:val="32"/>
          <w:szCs w:val="32"/>
          <w:vertAlign w:val="baseline"/>
        </w:rPr>
        <w:t>　　</w:t>
      </w:r>
      <w:r>
        <w:rPr>
          <w:rStyle w:val="7"/>
          <w:sz w:val="32"/>
          <w:szCs w:val="32"/>
          <w:vertAlign w:val="baseline"/>
        </w:rPr>
        <w:t>第二条</w:t>
      </w:r>
      <w:r>
        <w:rPr>
          <w:sz w:val="32"/>
          <w:szCs w:val="32"/>
          <w:vertAlign w:val="baseline"/>
        </w:rPr>
        <w:t>　本规定所称逐月领取退役金退役军人，是指按照《退役军人逐月领取退役金安置办法》退出现役并以逐月领取退役金方式安置的军队退役人员。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60" w:lineRule="atLeast"/>
        <w:ind w:left="0" w:right="0"/>
        <w:jc w:val="both"/>
        <w:textAlignment w:val="baseline"/>
        <w:rPr>
          <w:sz w:val="32"/>
          <w:szCs w:val="32"/>
        </w:rPr>
      </w:pPr>
      <w:r>
        <w:rPr>
          <w:sz w:val="32"/>
          <w:szCs w:val="32"/>
          <w:vertAlign w:val="baseline"/>
        </w:rPr>
        <w:t>　　</w:t>
      </w:r>
      <w:r>
        <w:rPr>
          <w:rStyle w:val="7"/>
          <w:sz w:val="32"/>
          <w:szCs w:val="32"/>
          <w:vertAlign w:val="baseline"/>
        </w:rPr>
        <w:t>第三条</w:t>
      </w:r>
      <w:r>
        <w:rPr>
          <w:sz w:val="32"/>
          <w:szCs w:val="32"/>
          <w:vertAlign w:val="baseline"/>
        </w:rPr>
        <w:t>　逐月领取退役金退役军人服务管理工作坚持政治引领、关心关爱、服务优先、依法管理的原则。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60" w:lineRule="atLeast"/>
        <w:ind w:left="0" w:right="0"/>
        <w:jc w:val="both"/>
        <w:textAlignment w:val="baseline"/>
        <w:rPr>
          <w:sz w:val="32"/>
          <w:szCs w:val="32"/>
        </w:rPr>
      </w:pPr>
      <w:r>
        <w:rPr>
          <w:sz w:val="32"/>
          <w:szCs w:val="32"/>
          <w:vertAlign w:val="baseline"/>
        </w:rPr>
        <w:t>　　</w:t>
      </w:r>
      <w:r>
        <w:rPr>
          <w:rStyle w:val="7"/>
          <w:sz w:val="32"/>
          <w:szCs w:val="32"/>
          <w:vertAlign w:val="baseline"/>
        </w:rPr>
        <w:t>第四条</w:t>
      </w:r>
      <w:r>
        <w:rPr>
          <w:sz w:val="32"/>
          <w:szCs w:val="32"/>
          <w:vertAlign w:val="baseline"/>
        </w:rPr>
        <w:t>　逐月领取退役金退役军人服务管理坚持党的领导，由退役军人事务部门主管，退役军人服务中心、站（以下统称退役军人服务机构）组织实施。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60" w:lineRule="atLeast"/>
        <w:ind w:left="0" w:right="0"/>
        <w:jc w:val="both"/>
        <w:textAlignment w:val="baseline"/>
        <w:rPr>
          <w:sz w:val="32"/>
          <w:szCs w:val="32"/>
        </w:rPr>
      </w:pPr>
      <w:r>
        <w:rPr>
          <w:sz w:val="32"/>
          <w:szCs w:val="32"/>
          <w:vertAlign w:val="baseline"/>
        </w:rPr>
        <w:t>　　退役军人事务部门负责逐月领取退役金退役军人服务管理工作，及时协调解决问题，监督检查相关法规政策落实情况。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60" w:lineRule="atLeast"/>
        <w:ind w:left="0" w:right="0"/>
        <w:jc w:val="both"/>
        <w:textAlignment w:val="baseline"/>
      </w:pPr>
      <w:r>
        <w:rPr>
          <w:sz w:val="32"/>
          <w:szCs w:val="32"/>
          <w:vertAlign w:val="baseline"/>
        </w:rPr>
        <w:t>　　退役军人服务机构承担逐月领取退役金退役军人日常服务管理工作。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60" w:lineRule="atLeast"/>
        <w:ind w:left="0" w:right="0"/>
        <w:jc w:val="center"/>
        <w:textAlignment w:val="baseline"/>
        <w:rPr>
          <w:sz w:val="32"/>
          <w:szCs w:val="32"/>
        </w:rPr>
      </w:pPr>
      <w:r>
        <w:rPr>
          <w:rStyle w:val="7"/>
          <w:sz w:val="32"/>
          <w:szCs w:val="32"/>
          <w:vertAlign w:val="baseline"/>
        </w:rPr>
        <w:t>第二章　服务管理内容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60" w:lineRule="atLeast"/>
        <w:ind w:left="0" w:right="0"/>
        <w:jc w:val="both"/>
        <w:textAlignment w:val="baseline"/>
        <w:rPr>
          <w:sz w:val="32"/>
          <w:szCs w:val="32"/>
        </w:rPr>
      </w:pPr>
      <w:r>
        <w:rPr>
          <w:sz w:val="32"/>
          <w:szCs w:val="32"/>
          <w:vertAlign w:val="baseline"/>
        </w:rPr>
        <w:t>　　</w:t>
      </w:r>
      <w:r>
        <w:rPr>
          <w:rStyle w:val="7"/>
          <w:sz w:val="32"/>
          <w:szCs w:val="32"/>
          <w:vertAlign w:val="baseline"/>
        </w:rPr>
        <w:t>第五条</w:t>
      </w:r>
      <w:r>
        <w:rPr>
          <w:sz w:val="32"/>
          <w:szCs w:val="32"/>
          <w:vertAlign w:val="baseline"/>
        </w:rPr>
        <w:t>　退役军人事务部门、退役军人服务机构应当加强对逐月退役军人的思想政治教育和保密教育提醒，引导其继续发扬人民军队优良传统，坚决拥护党的路线方针政策，模范遵守宪法和法律法规，永葆政治本色。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60" w:lineRule="atLeast"/>
        <w:ind w:left="0" w:right="0"/>
        <w:jc w:val="both"/>
        <w:textAlignment w:val="baseline"/>
        <w:rPr>
          <w:sz w:val="32"/>
          <w:szCs w:val="32"/>
        </w:rPr>
      </w:pPr>
      <w:r>
        <w:rPr>
          <w:sz w:val="32"/>
          <w:szCs w:val="32"/>
          <w:vertAlign w:val="baseline"/>
        </w:rPr>
        <w:t>　　</w:t>
      </w:r>
      <w:r>
        <w:rPr>
          <w:rStyle w:val="7"/>
          <w:sz w:val="32"/>
          <w:szCs w:val="32"/>
          <w:vertAlign w:val="baseline"/>
        </w:rPr>
        <w:t>第六条</w:t>
      </w:r>
      <w:r>
        <w:rPr>
          <w:sz w:val="32"/>
          <w:szCs w:val="32"/>
          <w:vertAlign w:val="baseline"/>
        </w:rPr>
        <w:t>　退役军人服务机构应当协助所在街道、乡镇党组织加强对逐月领取退役金退役军人党员的教育管理，督促履行党员义务。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60" w:lineRule="atLeast"/>
        <w:ind w:left="0" w:right="0"/>
        <w:jc w:val="both"/>
        <w:textAlignment w:val="baseline"/>
        <w:rPr>
          <w:sz w:val="32"/>
          <w:szCs w:val="32"/>
        </w:rPr>
      </w:pPr>
      <w:r>
        <w:rPr>
          <w:sz w:val="32"/>
          <w:szCs w:val="32"/>
          <w:vertAlign w:val="baseline"/>
        </w:rPr>
        <w:t>　　逐月领取退役金退役军人党员所在党组织每年对其参加组织生活、</w:t>
      </w:r>
      <w:r>
        <w:rPr>
          <w:rFonts w:hint="eastAsia"/>
          <w:sz w:val="32"/>
          <w:szCs w:val="32"/>
          <w:vertAlign w:val="baseline"/>
          <w:lang w:eastAsia="zh-CN"/>
        </w:rPr>
        <w:t>交纳</w:t>
      </w:r>
      <w:bookmarkStart w:id="0" w:name="_GoBack"/>
      <w:bookmarkEnd w:id="0"/>
      <w:r>
        <w:rPr>
          <w:sz w:val="32"/>
          <w:szCs w:val="32"/>
          <w:vertAlign w:val="baseline"/>
        </w:rPr>
        <w:t>党费及日常表现等情况提出的评定意见，可作为退役军人事务部门确定其政治荣誉、优待服务的参考依据。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60" w:lineRule="atLeast"/>
        <w:ind w:left="0" w:right="0"/>
        <w:jc w:val="both"/>
        <w:textAlignment w:val="baseline"/>
        <w:rPr>
          <w:sz w:val="32"/>
          <w:szCs w:val="32"/>
        </w:rPr>
      </w:pPr>
      <w:r>
        <w:rPr>
          <w:sz w:val="32"/>
          <w:szCs w:val="32"/>
          <w:vertAlign w:val="baseline"/>
        </w:rPr>
        <w:t>　　</w:t>
      </w:r>
      <w:r>
        <w:rPr>
          <w:rStyle w:val="7"/>
          <w:sz w:val="32"/>
          <w:szCs w:val="32"/>
          <w:vertAlign w:val="baseline"/>
        </w:rPr>
        <w:t>第七条</w:t>
      </w:r>
      <w:r>
        <w:rPr>
          <w:sz w:val="32"/>
          <w:szCs w:val="32"/>
          <w:vertAlign w:val="baseline"/>
        </w:rPr>
        <w:t>　接收安置工作实行先转接党员组织关系、后办理报到手续的程序。市、县级退役军人事务部门、退役军人服务机构应当主动协调相关部门组织做好逐月领取退役金退役军人党员组织关系转接、办理落户、社会保险关系转接、住房公积金转接、预备役登记、开设银行账户等工作。有条件的地方提供“一站式”服务，提高办事效率，优化服务质量，方便逐月领取退役金退役军人办理接收安置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60" w:lineRule="atLeast"/>
        <w:ind w:left="0" w:right="0"/>
        <w:jc w:val="both"/>
        <w:textAlignment w:val="baseline"/>
        <w:rPr>
          <w:sz w:val="32"/>
          <w:szCs w:val="32"/>
        </w:rPr>
      </w:pPr>
      <w:r>
        <w:rPr>
          <w:sz w:val="32"/>
          <w:szCs w:val="32"/>
          <w:vertAlign w:val="baseline"/>
        </w:rPr>
        <w:t>　　</w:t>
      </w:r>
      <w:r>
        <w:rPr>
          <w:rStyle w:val="7"/>
          <w:sz w:val="32"/>
          <w:szCs w:val="32"/>
          <w:vertAlign w:val="baseline"/>
        </w:rPr>
        <w:t>第八条</w:t>
      </w:r>
      <w:r>
        <w:rPr>
          <w:sz w:val="32"/>
          <w:szCs w:val="32"/>
          <w:vertAlign w:val="baseline"/>
        </w:rPr>
        <w:t>　县级退役军人事务部门、退役军人服务机构应当做好逐月领取退役金退役军人人事档案存放工作，建立健全入档、保管、查阅、复制、转接等制度，定期开展档案安全检查，按照规定建立数字档案。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60" w:lineRule="atLeast"/>
        <w:ind w:left="0" w:right="0"/>
        <w:jc w:val="both"/>
        <w:textAlignment w:val="baseline"/>
        <w:rPr>
          <w:sz w:val="32"/>
          <w:szCs w:val="32"/>
        </w:rPr>
      </w:pPr>
      <w:r>
        <w:rPr>
          <w:sz w:val="32"/>
          <w:szCs w:val="32"/>
          <w:vertAlign w:val="baseline"/>
        </w:rPr>
        <w:t>　　</w:t>
      </w:r>
      <w:r>
        <w:rPr>
          <w:rStyle w:val="7"/>
          <w:sz w:val="32"/>
          <w:szCs w:val="32"/>
          <w:vertAlign w:val="baseline"/>
        </w:rPr>
        <w:t>第九条</w:t>
      </w:r>
      <w:r>
        <w:rPr>
          <w:sz w:val="32"/>
          <w:szCs w:val="32"/>
          <w:vertAlign w:val="baseline"/>
        </w:rPr>
        <w:t>　市、县级退役军人服务机构应当建立逐月领取退役金退役军人年度登记审核制度，每年1月至3月采取现场或互联网的方式对逐月领取退役金退役军人提供的参加党组织生活、参加社团、出入国境、奖惩情况等信息进行审核。对年度登记审核通过的，按规定落实相关待遇；对年度登记审核未通过的，及时通知逐月领取退役金退役军人补正有关信息；对发现的苗头性问题，及时约谈提醒、教育引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60" w:lineRule="atLeast"/>
        <w:ind w:left="0" w:right="0"/>
        <w:jc w:val="both"/>
        <w:textAlignment w:val="baseline"/>
        <w:rPr>
          <w:sz w:val="32"/>
          <w:szCs w:val="32"/>
        </w:rPr>
      </w:pPr>
      <w:r>
        <w:rPr>
          <w:sz w:val="32"/>
          <w:szCs w:val="32"/>
          <w:vertAlign w:val="baseline"/>
        </w:rPr>
        <w:t>　　</w:t>
      </w:r>
      <w:r>
        <w:rPr>
          <w:rStyle w:val="7"/>
          <w:sz w:val="32"/>
          <w:szCs w:val="32"/>
          <w:vertAlign w:val="baseline"/>
        </w:rPr>
        <w:t>第十条</w:t>
      </w:r>
      <w:r>
        <w:rPr>
          <w:sz w:val="32"/>
          <w:szCs w:val="32"/>
          <w:vertAlign w:val="baseline"/>
        </w:rPr>
        <w:t>　退役军人事务部门按照有关规定为逐月领取退役金退役军人发放和调整退役金。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60" w:lineRule="atLeast"/>
        <w:ind w:left="0" w:right="0"/>
        <w:jc w:val="both"/>
        <w:textAlignment w:val="baseline"/>
        <w:rPr>
          <w:sz w:val="32"/>
          <w:szCs w:val="32"/>
        </w:rPr>
      </w:pPr>
      <w:r>
        <w:rPr>
          <w:sz w:val="32"/>
          <w:szCs w:val="32"/>
          <w:vertAlign w:val="baseline"/>
        </w:rPr>
        <w:t>　　</w:t>
      </w:r>
      <w:r>
        <w:rPr>
          <w:rStyle w:val="7"/>
          <w:sz w:val="32"/>
          <w:szCs w:val="32"/>
          <w:vertAlign w:val="baseline"/>
        </w:rPr>
        <w:t>第十一条</w:t>
      </w:r>
      <w:r>
        <w:rPr>
          <w:sz w:val="32"/>
          <w:szCs w:val="32"/>
          <w:vertAlign w:val="baseline"/>
        </w:rPr>
        <w:t>　退役军人事务部门在接收逐月领取退役金退役军人时举行迎接仪式，按国家有关规定组织逐月领取退役金退役军人参加重大庆典活动、对有突出贡献的给予表彰奖励，协调有关部门将符合条件的逐月领取退役金退役军人编入地方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60" w:lineRule="atLeast"/>
        <w:ind w:left="0" w:right="0"/>
        <w:jc w:val="both"/>
        <w:textAlignment w:val="baseline"/>
        <w:rPr>
          <w:sz w:val="32"/>
          <w:szCs w:val="32"/>
        </w:rPr>
      </w:pPr>
      <w:r>
        <w:rPr>
          <w:sz w:val="32"/>
          <w:szCs w:val="32"/>
          <w:vertAlign w:val="baseline"/>
        </w:rPr>
        <w:t>　　</w:t>
      </w:r>
      <w:r>
        <w:rPr>
          <w:rStyle w:val="7"/>
          <w:sz w:val="32"/>
          <w:szCs w:val="32"/>
          <w:vertAlign w:val="baseline"/>
        </w:rPr>
        <w:t>第十二条</w:t>
      </w:r>
      <w:r>
        <w:rPr>
          <w:sz w:val="32"/>
          <w:szCs w:val="32"/>
          <w:vertAlign w:val="baseline"/>
        </w:rPr>
        <w:t>　退役军人事务部门、退役军人服务机构落实常态化联系退役军人制度，定期联系逐月领取退役金退役军人，开展走访慰问活动，及时掌握思想、工作、生活等情况，传递党和政府的关心关爱。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60" w:lineRule="atLeast"/>
        <w:ind w:left="0" w:right="0"/>
        <w:jc w:val="both"/>
        <w:textAlignment w:val="baseline"/>
        <w:rPr>
          <w:sz w:val="32"/>
          <w:szCs w:val="32"/>
        </w:rPr>
      </w:pPr>
      <w:r>
        <w:rPr>
          <w:sz w:val="32"/>
          <w:szCs w:val="32"/>
          <w:vertAlign w:val="baseline"/>
        </w:rPr>
        <w:t>　　对患有严重疾病、遭遇重大突发情况等导致生活困难的逐月领取退役金退役军人，按规定给予帮扶援助。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60" w:lineRule="atLeast"/>
        <w:ind w:left="0" w:right="0"/>
        <w:jc w:val="both"/>
        <w:textAlignment w:val="baseline"/>
        <w:rPr>
          <w:sz w:val="32"/>
          <w:szCs w:val="32"/>
        </w:rPr>
      </w:pPr>
      <w:r>
        <w:rPr>
          <w:sz w:val="32"/>
          <w:szCs w:val="32"/>
          <w:vertAlign w:val="baseline"/>
        </w:rPr>
        <w:t>　　</w:t>
      </w:r>
      <w:r>
        <w:rPr>
          <w:rStyle w:val="7"/>
          <w:sz w:val="32"/>
          <w:szCs w:val="32"/>
          <w:vertAlign w:val="baseline"/>
        </w:rPr>
        <w:t>第十三条</w:t>
      </w:r>
      <w:r>
        <w:rPr>
          <w:sz w:val="32"/>
          <w:szCs w:val="32"/>
          <w:vertAlign w:val="baseline"/>
        </w:rPr>
        <w:t>　退役军人事务部门、退役军人服务机构扶持逐月领取退役金退役军人就业创业，鼓励其结合自身优势，在基层治理、稳边固边、国防教育、志愿服务等方面发挥积极作用。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60" w:lineRule="atLeast"/>
        <w:ind w:left="0" w:right="0"/>
        <w:jc w:val="center"/>
        <w:textAlignment w:val="baseline"/>
        <w:rPr>
          <w:sz w:val="32"/>
          <w:szCs w:val="32"/>
        </w:rPr>
      </w:pPr>
      <w:r>
        <w:rPr>
          <w:rStyle w:val="7"/>
          <w:sz w:val="32"/>
          <w:szCs w:val="32"/>
          <w:vertAlign w:val="baseline"/>
        </w:rPr>
        <w:t>第三章　服务管理方式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60" w:lineRule="atLeast"/>
        <w:ind w:left="0" w:right="0"/>
        <w:jc w:val="both"/>
        <w:textAlignment w:val="baseline"/>
        <w:rPr>
          <w:sz w:val="32"/>
          <w:szCs w:val="32"/>
        </w:rPr>
      </w:pPr>
      <w:r>
        <w:rPr>
          <w:sz w:val="32"/>
          <w:szCs w:val="32"/>
          <w:vertAlign w:val="baseline"/>
        </w:rPr>
        <w:t>　　</w:t>
      </w:r>
      <w:r>
        <w:rPr>
          <w:rStyle w:val="7"/>
          <w:sz w:val="32"/>
          <w:szCs w:val="32"/>
          <w:vertAlign w:val="baseline"/>
        </w:rPr>
        <w:t>第十四条</w:t>
      </w:r>
      <w:r>
        <w:rPr>
          <w:sz w:val="32"/>
          <w:szCs w:val="32"/>
          <w:vertAlign w:val="baseline"/>
        </w:rPr>
        <w:t>　退役军人服务机构应当建立健全逐月领取退役金退役军人服务管理工作制度，不断提升服务管理水平。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60" w:lineRule="atLeast"/>
        <w:ind w:left="0" w:right="0"/>
        <w:jc w:val="both"/>
        <w:textAlignment w:val="baseline"/>
        <w:rPr>
          <w:sz w:val="32"/>
          <w:szCs w:val="32"/>
        </w:rPr>
      </w:pPr>
      <w:r>
        <w:rPr>
          <w:sz w:val="32"/>
          <w:szCs w:val="32"/>
          <w:vertAlign w:val="baseline"/>
        </w:rPr>
        <w:t>　　</w:t>
      </w:r>
      <w:r>
        <w:rPr>
          <w:rStyle w:val="7"/>
          <w:sz w:val="32"/>
          <w:szCs w:val="32"/>
          <w:vertAlign w:val="baseline"/>
        </w:rPr>
        <w:t>第十五条</w:t>
      </w:r>
      <w:r>
        <w:rPr>
          <w:sz w:val="32"/>
          <w:szCs w:val="32"/>
          <w:vertAlign w:val="baseline"/>
        </w:rPr>
        <w:t>　退役军人服务机构应当完善服务管理网络，发挥服务站点末梢作用，探索开展网格化管理，实现逐月领取退役金退役军人服务管理的全覆盖。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60" w:lineRule="atLeast"/>
        <w:ind w:left="0" w:right="0"/>
        <w:jc w:val="both"/>
        <w:textAlignment w:val="baseline"/>
        <w:rPr>
          <w:sz w:val="32"/>
          <w:szCs w:val="32"/>
        </w:rPr>
      </w:pPr>
      <w:r>
        <w:rPr>
          <w:sz w:val="32"/>
          <w:szCs w:val="32"/>
          <w:vertAlign w:val="baseline"/>
        </w:rPr>
        <w:t>　　</w:t>
      </w:r>
      <w:r>
        <w:rPr>
          <w:rStyle w:val="7"/>
          <w:sz w:val="32"/>
          <w:szCs w:val="32"/>
          <w:vertAlign w:val="baseline"/>
        </w:rPr>
        <w:t>第十六条</w:t>
      </w:r>
      <w:r>
        <w:rPr>
          <w:sz w:val="32"/>
          <w:szCs w:val="32"/>
          <w:vertAlign w:val="baseline"/>
        </w:rPr>
        <w:t>　退役军人服务机构应当按照退役军人事务部门制定的规范标准，推进服务管理工作的标准化建设，确保规范运行。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60" w:lineRule="atLeast"/>
        <w:ind w:left="0" w:right="0"/>
        <w:jc w:val="both"/>
        <w:textAlignment w:val="baseline"/>
        <w:rPr>
          <w:sz w:val="32"/>
          <w:szCs w:val="32"/>
        </w:rPr>
      </w:pPr>
      <w:r>
        <w:rPr>
          <w:sz w:val="32"/>
          <w:szCs w:val="32"/>
          <w:vertAlign w:val="baseline"/>
        </w:rPr>
        <w:t>　　</w:t>
      </w:r>
      <w:r>
        <w:rPr>
          <w:rStyle w:val="7"/>
          <w:sz w:val="32"/>
          <w:szCs w:val="32"/>
          <w:vertAlign w:val="baseline"/>
        </w:rPr>
        <w:t>第十七条</w:t>
      </w:r>
      <w:r>
        <w:rPr>
          <w:sz w:val="32"/>
          <w:szCs w:val="32"/>
          <w:vertAlign w:val="baseline"/>
        </w:rPr>
        <w:t>　退役军人事务部门、退役军人服务机构应当加强信息化建设，发挥安置服务管理信息系统等信息化平台作用，提高服务管理效能。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60" w:lineRule="atLeast"/>
        <w:ind w:left="0" w:right="0"/>
        <w:jc w:val="both"/>
        <w:textAlignment w:val="baseline"/>
        <w:rPr>
          <w:sz w:val="32"/>
          <w:szCs w:val="32"/>
        </w:rPr>
      </w:pPr>
      <w:r>
        <w:rPr>
          <w:sz w:val="32"/>
          <w:szCs w:val="32"/>
          <w:vertAlign w:val="baseline"/>
        </w:rPr>
        <w:t>　　</w:t>
      </w:r>
      <w:r>
        <w:rPr>
          <w:rStyle w:val="7"/>
          <w:sz w:val="32"/>
          <w:szCs w:val="32"/>
          <w:vertAlign w:val="baseline"/>
        </w:rPr>
        <w:t>第十八条</w:t>
      </w:r>
      <w:r>
        <w:rPr>
          <w:sz w:val="32"/>
          <w:szCs w:val="32"/>
          <w:vertAlign w:val="baseline"/>
        </w:rPr>
        <w:t>　逐月领取退役金退役军人已就业的，退役军人服务机构引导用人单位依据国家法律政策做好服务管理工作、及时告知重要情况。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60" w:lineRule="atLeast"/>
        <w:ind w:left="0" w:right="0"/>
        <w:jc w:val="both"/>
        <w:textAlignment w:val="baseline"/>
        <w:rPr>
          <w:sz w:val="32"/>
          <w:szCs w:val="32"/>
        </w:rPr>
      </w:pPr>
      <w:r>
        <w:rPr>
          <w:sz w:val="32"/>
          <w:szCs w:val="32"/>
          <w:vertAlign w:val="baseline"/>
        </w:rPr>
        <w:t>　　</w:t>
      </w:r>
      <w:r>
        <w:rPr>
          <w:rStyle w:val="7"/>
          <w:sz w:val="32"/>
          <w:szCs w:val="32"/>
          <w:vertAlign w:val="baseline"/>
        </w:rPr>
        <w:t>第十九条</w:t>
      </w:r>
      <w:r>
        <w:rPr>
          <w:sz w:val="32"/>
          <w:szCs w:val="32"/>
          <w:vertAlign w:val="baseline"/>
        </w:rPr>
        <w:t>　退役军人服务机构鼓励和支持逐月领取退役金退役军人加强自我教育、自我服务、自我管理，可以遴选政治过硬、身体健康、经验丰富、能力较强的逐月领取退役金退役军人在自我服务管理中发挥带头作用。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60" w:lineRule="atLeast"/>
        <w:ind w:left="0" w:right="0"/>
        <w:jc w:val="center"/>
        <w:textAlignment w:val="baseline"/>
        <w:rPr>
          <w:sz w:val="32"/>
          <w:szCs w:val="32"/>
        </w:rPr>
      </w:pPr>
      <w:r>
        <w:rPr>
          <w:rStyle w:val="7"/>
          <w:sz w:val="32"/>
          <w:szCs w:val="32"/>
          <w:vertAlign w:val="baseline"/>
        </w:rPr>
        <w:t>第四章　服务管理保障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60" w:lineRule="atLeast"/>
        <w:ind w:left="0" w:right="0"/>
        <w:jc w:val="both"/>
        <w:textAlignment w:val="baseline"/>
        <w:rPr>
          <w:sz w:val="32"/>
          <w:szCs w:val="32"/>
        </w:rPr>
      </w:pPr>
      <w:r>
        <w:rPr>
          <w:sz w:val="32"/>
          <w:szCs w:val="32"/>
          <w:vertAlign w:val="baseline"/>
        </w:rPr>
        <w:t>　　</w:t>
      </w:r>
      <w:r>
        <w:rPr>
          <w:rStyle w:val="7"/>
          <w:sz w:val="32"/>
          <w:szCs w:val="32"/>
          <w:vertAlign w:val="baseline"/>
        </w:rPr>
        <w:t>第二十条</w:t>
      </w:r>
      <w:r>
        <w:rPr>
          <w:sz w:val="32"/>
          <w:szCs w:val="32"/>
          <w:vertAlign w:val="baseline"/>
        </w:rPr>
        <w:t>　退役军人事务部门、退役军人服务机构应当加强自身队伍建设，县级以上退役军人服务中心明确责任处（科）室、乡镇（街道）退役军人服务站明确专人负责相关服务管理工作。有条件的地方可以引进专业化社会服务力量提升服务效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60" w:lineRule="atLeast"/>
        <w:ind w:left="0" w:right="0"/>
        <w:jc w:val="both"/>
        <w:textAlignment w:val="baseline"/>
        <w:rPr>
          <w:sz w:val="32"/>
          <w:szCs w:val="32"/>
        </w:rPr>
      </w:pPr>
      <w:r>
        <w:rPr>
          <w:sz w:val="32"/>
          <w:szCs w:val="32"/>
          <w:vertAlign w:val="baseline"/>
        </w:rPr>
        <w:t>　　</w:t>
      </w:r>
      <w:r>
        <w:rPr>
          <w:rStyle w:val="7"/>
          <w:sz w:val="32"/>
          <w:szCs w:val="32"/>
          <w:vertAlign w:val="baseline"/>
        </w:rPr>
        <w:t>第二十一条</w:t>
      </w:r>
      <w:r>
        <w:rPr>
          <w:sz w:val="32"/>
          <w:szCs w:val="32"/>
          <w:vertAlign w:val="baseline"/>
        </w:rPr>
        <w:t>　退役军人事务部门、退役军人服务机构应当加强能力建设，通过政治教育、业务培训、岗位练兵等方式，提升工作人员思想政治素质、政策业务水平和服务管理能力。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60" w:lineRule="atLeast"/>
        <w:ind w:left="0" w:right="0"/>
        <w:jc w:val="both"/>
        <w:textAlignment w:val="baseline"/>
        <w:rPr>
          <w:sz w:val="32"/>
          <w:szCs w:val="32"/>
        </w:rPr>
      </w:pPr>
      <w:r>
        <w:rPr>
          <w:sz w:val="32"/>
          <w:szCs w:val="32"/>
          <w:vertAlign w:val="baseline"/>
        </w:rPr>
        <w:t>　　</w:t>
      </w:r>
      <w:r>
        <w:rPr>
          <w:rStyle w:val="7"/>
          <w:sz w:val="32"/>
          <w:szCs w:val="32"/>
          <w:vertAlign w:val="baseline"/>
        </w:rPr>
        <w:t>第二十二条</w:t>
      </w:r>
      <w:r>
        <w:rPr>
          <w:sz w:val="32"/>
          <w:szCs w:val="32"/>
          <w:vertAlign w:val="baseline"/>
        </w:rPr>
        <w:t>　逐月领取退役金退役军人服务管理经费，由中央和地方按照财政事权和支出责任划分分别承担，用于服务管理相关工作。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60" w:lineRule="atLeast"/>
        <w:ind w:left="0" w:right="0"/>
        <w:jc w:val="both"/>
        <w:textAlignment w:val="baseline"/>
        <w:rPr>
          <w:sz w:val="32"/>
          <w:szCs w:val="32"/>
        </w:rPr>
      </w:pPr>
      <w:r>
        <w:rPr>
          <w:sz w:val="32"/>
          <w:szCs w:val="32"/>
          <w:vertAlign w:val="baseline"/>
        </w:rPr>
        <w:t>　　</w:t>
      </w:r>
      <w:r>
        <w:rPr>
          <w:rStyle w:val="7"/>
          <w:sz w:val="32"/>
          <w:szCs w:val="32"/>
          <w:vertAlign w:val="baseline"/>
        </w:rPr>
        <w:t>第二十三条</w:t>
      </w:r>
      <w:r>
        <w:rPr>
          <w:sz w:val="32"/>
          <w:szCs w:val="32"/>
          <w:vertAlign w:val="baseline"/>
        </w:rPr>
        <w:t>　退役军人事务部门应当建立逐月领取退役金退役军人服务管理工作考核评价制度，纳入年度工作绩效和领导班子考核。对做出突出贡献的单位和个人，按照国家有关规定给予表彰、奖励。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60" w:lineRule="atLeast"/>
        <w:ind w:left="0" w:right="0"/>
        <w:jc w:val="both"/>
        <w:textAlignment w:val="baseline"/>
        <w:rPr>
          <w:sz w:val="32"/>
          <w:szCs w:val="32"/>
        </w:rPr>
      </w:pPr>
      <w:r>
        <w:rPr>
          <w:sz w:val="32"/>
          <w:szCs w:val="32"/>
          <w:vertAlign w:val="baseline"/>
        </w:rPr>
        <w:t>　　</w:t>
      </w:r>
      <w:r>
        <w:rPr>
          <w:rStyle w:val="7"/>
          <w:sz w:val="32"/>
          <w:szCs w:val="32"/>
          <w:vertAlign w:val="baseline"/>
        </w:rPr>
        <w:t>第二十四条</w:t>
      </w:r>
      <w:r>
        <w:rPr>
          <w:sz w:val="32"/>
          <w:szCs w:val="32"/>
          <w:vertAlign w:val="baseline"/>
        </w:rPr>
        <w:t>　退役军人事务部门、退役军人服务机构应当加强对工作人员的作风纪律监督，引导其树牢满腔热忱为退役军人服务的意识。对政策落实不到位、工作推进不力的单位和人员，按照相关规定追究责任。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60" w:lineRule="atLeast"/>
        <w:ind w:left="0" w:right="0"/>
        <w:jc w:val="center"/>
        <w:textAlignment w:val="baseline"/>
        <w:rPr>
          <w:sz w:val="32"/>
          <w:szCs w:val="32"/>
        </w:rPr>
      </w:pPr>
      <w:r>
        <w:rPr>
          <w:rStyle w:val="7"/>
          <w:sz w:val="32"/>
          <w:szCs w:val="32"/>
          <w:vertAlign w:val="baseline"/>
        </w:rPr>
        <w:t>第五章　附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60" w:lineRule="atLeast"/>
        <w:ind w:left="0" w:right="0"/>
        <w:textAlignment w:val="baseline"/>
        <w:rPr>
          <w:sz w:val="32"/>
          <w:szCs w:val="32"/>
        </w:rPr>
      </w:pPr>
      <w:r>
        <w:rPr>
          <w:sz w:val="32"/>
          <w:szCs w:val="32"/>
          <w:vertAlign w:val="baseline"/>
        </w:rPr>
        <w:t>　　</w:t>
      </w:r>
      <w:r>
        <w:rPr>
          <w:rStyle w:val="7"/>
          <w:sz w:val="32"/>
          <w:szCs w:val="32"/>
          <w:vertAlign w:val="baseline"/>
        </w:rPr>
        <w:t>第二十五条</w:t>
      </w:r>
      <w:r>
        <w:rPr>
          <w:sz w:val="32"/>
          <w:szCs w:val="32"/>
          <w:vertAlign w:val="baseline"/>
        </w:rPr>
        <w:t>　本规定由退役军人事务部、财政部负责解释。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60" w:lineRule="atLeast"/>
        <w:ind w:left="0" w:right="0"/>
        <w:textAlignment w:val="baseline"/>
        <w:rPr>
          <w:sz w:val="32"/>
          <w:szCs w:val="32"/>
        </w:rPr>
      </w:pPr>
      <w:r>
        <w:rPr>
          <w:sz w:val="32"/>
          <w:szCs w:val="32"/>
          <w:vertAlign w:val="baseline"/>
        </w:rPr>
        <w:t>　　</w:t>
      </w:r>
      <w:r>
        <w:rPr>
          <w:rStyle w:val="7"/>
          <w:sz w:val="32"/>
          <w:szCs w:val="32"/>
          <w:vertAlign w:val="baseline"/>
        </w:rPr>
        <w:t>第二十六条</w:t>
      </w:r>
      <w:r>
        <w:rPr>
          <w:sz w:val="32"/>
          <w:szCs w:val="32"/>
          <w:vertAlign w:val="baseline"/>
        </w:rPr>
        <w:t>　本规定自发布之日起施行。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560" w:lineRule="atLeast"/>
        <w:ind w:left="0" w:right="0"/>
        <w:textAlignment w:val="baseline"/>
        <w:rPr>
          <w:sz w:val="32"/>
          <w:szCs w:val="32"/>
        </w:rPr>
      </w:pPr>
    </w:p>
    <w:p/>
    <w:sectPr>
      <w:footerReference r:id="rId3" w:type="default"/>
      <w:footerReference r:id="rId4" w:type="even"/>
      <w:pgSz w:w="11906" w:h="16838"/>
      <w:pgMar w:top="1440" w:right="1800" w:bottom="1440" w:left="1800"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4300220</wp:posOffset>
              </wp:positionH>
              <wp:positionV relativeFrom="paragraph">
                <wp:posOffset>-252730</wp:posOffset>
              </wp:positionV>
              <wp:extent cx="974090" cy="39878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974090" cy="3987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righ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w:t>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left:338.6pt;margin-top:-19.9pt;height:31.4pt;width:76.7pt;mso-position-horizontal-relative:margin;z-index:251659264;mso-width-relative:page;mso-height-relative:page;" filled="f" stroked="f" coordsize="21600,21600" o:gfxdata="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Ce9XL62AAAAAoBAAAPAAAAAAAAAAEAIAAAADgAAABkcnMvZG93bnJl&#10;di54bWxQSwECFAAUAAAACACHTuJALcWlJCACAAApBAAADgAAAAAAAAABACAAAAA9AQAAZHJzL2Uy&#10;b0RvYy54bWxQSwUGAAAAAAYABgBZAQAAzwUAAAAA&#10;">
              <v:fill on="f" focussize="0,0"/>
              <v:stroke on="f" weight="0.5pt"/>
              <v:imagedata o:title=""/>
              <o:lock v:ext="edit" aspectratio="f"/>
              <v:textbox inset="0mm,0mm,0mm,0mm">
                <w:txbxContent>
                  <w:p>
                    <w:pPr>
                      <w:pStyle w:val="2"/>
                      <w:jc w:val="righ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evenAndOddHeaders w:val="true"/>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yNzFiYTMwZDNjYTczN2YzOTlhZTNkNmM4ZDQzOTQifQ=="/>
  </w:docVars>
  <w:rsids>
    <w:rsidRoot w:val="00000000"/>
    <w:rsid w:val="2FED5394"/>
    <w:rsid w:val="5AA46C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2277</Words>
  <Characters>2281</Characters>
  <Lines>0</Lines>
  <Paragraphs>0</Paragraphs>
  <TotalTime>2</TotalTime>
  <ScaleCrop>false</ScaleCrop>
  <LinksUpToDate>false</LinksUpToDate>
  <CharactersWithSpaces>2374</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2022-10-11T16:08:00Z</dcterms:created>
  <dc:creator>admin</dc:creator>
  <cp:lastModifiedBy>user</cp:lastModifiedBy>
  <dcterms:modified xsi:type="dcterms:W3CDTF">2023-02-02T10:54:48Z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2280186D4F244ADC9AD627E3BE44126E</vt:lpwstr>
  </property>
</Properties>
</file>