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7976"/>
      <w:bookmarkStart w:id="5" w:name="_Toc15396597"/>
      <w:bookmarkStart w:id="6"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77194"/>
      <w:bookmarkStart w:id="9" w:name="_Toc15377426"/>
      <w:bookmarkStart w:id="10" w:name="_Toc15396598"/>
      <w:bookmarkStart w:id="11" w:name="_Toc8164"/>
      <w:bookmarkStart w:id="12" w:name="_Toc15396476"/>
      <w:r>
        <w:rPr>
          <w:rFonts w:hint="eastAsia" w:ascii="方正小标宋简体" w:hAnsi="方正小标宋简体" w:eastAsia="方正小标宋简体" w:cs="方正小标宋简体"/>
          <w:sz w:val="72"/>
          <w:szCs w:val="72"/>
        </w:rPr>
        <w:t>攀枝花市</w:t>
      </w:r>
      <w:bookmarkEnd w:id="0"/>
      <w:bookmarkStart w:id="13" w:name="_Toc15306268"/>
      <w:r>
        <w:rPr>
          <w:rFonts w:hint="eastAsia" w:ascii="方正小标宋简体" w:hAnsi="方正小标宋简体" w:eastAsia="方正小标宋简体" w:cs="方正小标宋简体"/>
          <w:sz w:val="72"/>
          <w:szCs w:val="72"/>
        </w:rPr>
        <w:t>军队离退休干部休养所决算</w:t>
      </w:r>
      <w:bookmarkEnd w:id="7"/>
      <w:bookmarkEnd w:id="8"/>
      <w:bookmarkEnd w:id="9"/>
      <w:bookmarkEnd w:id="10"/>
      <w:bookmarkEnd w:id="11"/>
      <w:bookmarkEnd w:id="12"/>
      <w:bookmarkEnd w:id="13"/>
    </w:p>
    <w:p>
      <w:pPr>
        <w:adjustRightInd w:val="0"/>
        <w:snapToGrid w:val="0"/>
        <w:spacing w:line="360" w:lineRule="auto"/>
        <w:jc w:val="center"/>
        <w:outlineLvl w:val="9"/>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adjustRightInd w:val="0"/>
        <w:snapToGrid w:val="0"/>
        <w:spacing w:before="0" w:line="440" w:lineRule="exact"/>
        <w:jc w:val="left"/>
        <w:outlineLvl w:val="0"/>
        <w:rPr>
          <w:rFonts w:hint="eastAsia"/>
          <w:sz w:val="24"/>
        </w:rPr>
      </w:pPr>
    </w:p>
    <w:p>
      <w:pPr>
        <w:pStyle w:val="10"/>
        <w:ind w:firstLine="2240" w:firstLineChars="800"/>
        <w:jc w:val="both"/>
      </w:pPr>
      <w:r>
        <w:rPr>
          <w:rFonts w:hint="eastAsia"/>
        </w:rPr>
        <w:t>公开时间：2023年9月</w:t>
      </w:r>
      <w:r>
        <w:rPr>
          <w:rFonts w:hint="eastAsia"/>
          <w:lang w:val="en-US" w:eastAsia="zh-CN"/>
        </w:rPr>
        <w:t>5</w:t>
      </w:r>
      <w:bookmarkStart w:id="110" w:name="_GoBack"/>
      <w:bookmarkEnd w:id="110"/>
      <w:r>
        <w:rPr>
          <w:rFonts w:hint="eastAsia"/>
        </w:rPr>
        <w:t>日</w:t>
      </w:r>
    </w:p>
    <w:p/>
    <w:sdt>
      <w:sdtPr>
        <w:rPr>
          <w:rFonts w:ascii="宋体" w:hAnsi="宋体" w:eastAsia="宋体" w:cs="Times New Roman"/>
          <w:kern w:val="2"/>
          <w:sz w:val="21"/>
          <w:szCs w:val="24"/>
          <w:lang w:val="en-US" w:eastAsia="zh-CN" w:bidi="ar-SA"/>
        </w:rPr>
        <w:id w:val="147465622"/>
        <w15:color w:val="DBDBDB"/>
        <w:docPartObj>
          <w:docPartGallery w:val="Table of Contents"/>
          <w:docPartUnique/>
        </w:docPartObj>
      </w:sdtPr>
      <w:sdtEndPr>
        <w:rPr>
          <w:rFonts w:hint="eastAsia" w:ascii="宋体" w:hAnsi="宋体"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sz w:val="24"/>
            </w:rPr>
          </w:pPr>
          <w:r>
            <w:rPr>
              <w:rFonts w:hint="eastAsia"/>
              <w:sz w:val="24"/>
            </w:rPr>
            <w:fldChar w:fldCharType="begin"/>
          </w:r>
          <w:r>
            <w:rPr>
              <w:rFonts w:hint="eastAsia"/>
              <w:sz w:val="24"/>
            </w:rPr>
            <w:instrText xml:space="preserve">TOC \o "1-2" \h \u </w:instrText>
          </w:r>
          <w:r>
            <w:rPr>
              <w:rFonts w:hint="eastAsia"/>
              <w:sz w:val="24"/>
            </w:rPr>
            <w:fldChar w:fldCharType="separate"/>
          </w:r>
        </w:p>
        <w:p>
          <w:pPr>
            <w:pStyle w:val="11"/>
            <w:adjustRightInd w:val="0"/>
            <w:snapToGrid w:val="0"/>
            <w:spacing w:line="440" w:lineRule="exact"/>
            <w:jc w:val="left"/>
            <w:rPr>
              <w:rFonts w:hint="eastAsia"/>
              <w:sz w:val="24"/>
            </w:rPr>
          </w:pPr>
        </w:p>
        <w:p>
          <w:pPr>
            <w:pStyle w:val="10"/>
            <w:adjustRightInd w:val="0"/>
            <w:snapToGrid w:val="0"/>
            <w:spacing w:before="0" w:line="440" w:lineRule="exact"/>
            <w:jc w:val="left"/>
            <w:outlineLvl w:val="0"/>
            <w:rPr>
              <w:rFonts w:hint="eastAsia"/>
              <w:b/>
              <w:bCs/>
              <w:sz w:val="24"/>
            </w:rPr>
          </w:pPr>
          <w:r>
            <w:rPr>
              <w:rFonts w:hint="eastAsia"/>
              <w:b/>
              <w:bCs/>
              <w:sz w:val="24"/>
            </w:rPr>
            <w:fldChar w:fldCharType="begin"/>
          </w:r>
          <w:r>
            <w:rPr>
              <w:rFonts w:hint="eastAsia"/>
              <w:b/>
              <w:bCs/>
              <w:sz w:val="24"/>
            </w:rPr>
            <w:instrText xml:space="preserve"> HYPERLINK \l _Toc6546 </w:instrText>
          </w:r>
          <w:r>
            <w:rPr>
              <w:rFonts w:hint="eastAsia"/>
              <w:b/>
              <w:bCs/>
              <w:sz w:val="24"/>
            </w:rPr>
            <w:fldChar w:fldCharType="separate"/>
          </w:r>
          <w:r>
            <w:rPr>
              <w:rFonts w:hint="eastAsia"/>
              <w:b/>
              <w:bCs/>
              <w:sz w:val="24"/>
            </w:rPr>
            <w:t>第一部分 单位概况</w:t>
          </w:r>
          <w:r>
            <w:rPr>
              <w:rFonts w:hint="eastAsia"/>
              <w:b/>
              <w:bCs/>
              <w:sz w:val="24"/>
            </w:rPr>
            <w:tab/>
          </w:r>
          <w:r>
            <w:rPr>
              <w:rFonts w:hint="eastAsia"/>
              <w:b/>
              <w:bCs/>
              <w:sz w:val="24"/>
            </w:rPr>
            <w:fldChar w:fldCharType="begin"/>
          </w:r>
          <w:r>
            <w:rPr>
              <w:rFonts w:hint="eastAsia"/>
              <w:b/>
              <w:bCs/>
              <w:sz w:val="24"/>
            </w:rPr>
            <w:instrText xml:space="preserve"> PAGEREF _Toc6546 \h </w:instrText>
          </w:r>
          <w:r>
            <w:rPr>
              <w:rFonts w:hint="eastAsia"/>
              <w:b/>
              <w:bCs/>
              <w:sz w:val="24"/>
            </w:rPr>
            <w:fldChar w:fldCharType="separate"/>
          </w:r>
          <w:r>
            <w:rPr>
              <w:rFonts w:hint="eastAsia"/>
              <w:b/>
              <w:bCs/>
              <w:sz w:val="24"/>
            </w:rPr>
            <w:t>4</w:t>
          </w:r>
          <w:r>
            <w:rPr>
              <w:rFonts w:hint="eastAsia"/>
              <w:b/>
              <w:bCs/>
              <w:sz w:val="24"/>
            </w:rPr>
            <w:fldChar w:fldCharType="end"/>
          </w:r>
          <w:r>
            <w:rPr>
              <w:rFonts w:hint="eastAsia"/>
              <w:b/>
              <w:bCs/>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_Toc28089 </w:instrText>
          </w:r>
          <w:r>
            <w:rPr>
              <w:rFonts w:hint="eastAsia"/>
              <w:sz w:val="24"/>
            </w:rPr>
            <w:fldChar w:fldCharType="separate"/>
          </w:r>
          <w:r>
            <w:rPr>
              <w:rFonts w:hint="eastAsia"/>
              <w:sz w:val="24"/>
            </w:rPr>
            <w:t>一、 主要职责</w:t>
          </w:r>
          <w:r>
            <w:rPr>
              <w:rFonts w:hint="eastAsia"/>
              <w:sz w:val="24"/>
            </w:rPr>
            <w:tab/>
          </w:r>
          <w:r>
            <w:rPr>
              <w:rFonts w:hint="eastAsia"/>
              <w:sz w:val="24"/>
            </w:rPr>
            <w:fldChar w:fldCharType="begin"/>
          </w:r>
          <w:r>
            <w:rPr>
              <w:rFonts w:hint="eastAsia"/>
              <w:sz w:val="24"/>
            </w:rPr>
            <w:instrText xml:space="preserve"> PAGEREF _Toc28089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_Toc31555 </w:instrText>
          </w:r>
          <w:r>
            <w:rPr>
              <w:rFonts w:hint="eastAsia"/>
              <w:sz w:val="24"/>
            </w:rPr>
            <w:fldChar w:fldCharType="separate"/>
          </w:r>
          <w:r>
            <w:rPr>
              <w:rFonts w:hint="eastAsia"/>
              <w:sz w:val="24"/>
            </w:rPr>
            <w:t>二、机构设置</w:t>
          </w:r>
          <w:r>
            <w:rPr>
              <w:rFonts w:hint="eastAsia"/>
              <w:sz w:val="24"/>
            </w:rPr>
            <w:tab/>
          </w:r>
          <w:r>
            <w:rPr>
              <w:rFonts w:hint="eastAsia"/>
              <w:sz w:val="24"/>
            </w:rPr>
            <w:fldChar w:fldCharType="begin"/>
          </w:r>
          <w:r>
            <w:rPr>
              <w:rFonts w:hint="eastAsia"/>
              <w:sz w:val="24"/>
            </w:rPr>
            <w:instrText xml:space="preserve"> PAGEREF _Toc31555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10"/>
            <w:adjustRightInd w:val="0"/>
            <w:snapToGrid w:val="0"/>
            <w:spacing w:before="0" w:line="440" w:lineRule="exact"/>
            <w:jc w:val="left"/>
            <w:outlineLvl w:val="0"/>
            <w:rPr>
              <w:rFonts w:hint="eastAsia"/>
              <w:b/>
              <w:bCs/>
              <w:sz w:val="24"/>
            </w:rPr>
          </w:pPr>
          <w:r>
            <w:rPr>
              <w:rFonts w:hint="eastAsia"/>
              <w:b/>
              <w:bCs/>
              <w:sz w:val="24"/>
            </w:rPr>
            <w:fldChar w:fldCharType="begin"/>
          </w:r>
          <w:r>
            <w:rPr>
              <w:rFonts w:hint="eastAsia"/>
              <w:b/>
              <w:bCs/>
              <w:sz w:val="24"/>
            </w:rPr>
            <w:instrText xml:space="preserve"> HYPERLINK \l _Toc19507 </w:instrText>
          </w:r>
          <w:r>
            <w:rPr>
              <w:rFonts w:hint="eastAsia"/>
              <w:b/>
              <w:bCs/>
              <w:sz w:val="24"/>
            </w:rPr>
            <w:fldChar w:fldCharType="separate"/>
          </w:r>
          <w:r>
            <w:rPr>
              <w:rFonts w:hint="eastAsia"/>
              <w:b/>
              <w:bCs/>
              <w:sz w:val="24"/>
            </w:rPr>
            <w:t>第二部分 2022年度单位决算情况说明</w:t>
          </w:r>
          <w:r>
            <w:rPr>
              <w:rFonts w:hint="eastAsia"/>
              <w:b/>
              <w:bCs/>
              <w:sz w:val="24"/>
            </w:rPr>
            <w:tab/>
          </w:r>
          <w:r>
            <w:rPr>
              <w:rFonts w:hint="eastAsia"/>
              <w:b/>
              <w:bCs/>
              <w:sz w:val="24"/>
            </w:rPr>
            <w:fldChar w:fldCharType="begin"/>
          </w:r>
          <w:r>
            <w:rPr>
              <w:rFonts w:hint="eastAsia"/>
              <w:b/>
              <w:bCs/>
              <w:sz w:val="24"/>
            </w:rPr>
            <w:instrText xml:space="preserve"> PAGEREF _Toc19507 \h </w:instrText>
          </w:r>
          <w:r>
            <w:rPr>
              <w:rFonts w:hint="eastAsia"/>
              <w:b/>
              <w:bCs/>
              <w:sz w:val="24"/>
            </w:rPr>
            <w:fldChar w:fldCharType="separate"/>
          </w:r>
          <w:r>
            <w:rPr>
              <w:rFonts w:hint="eastAsia"/>
              <w:b/>
              <w:bCs/>
              <w:sz w:val="24"/>
            </w:rPr>
            <w:t>5</w:t>
          </w:r>
          <w:r>
            <w:rPr>
              <w:rFonts w:hint="eastAsia"/>
              <w:b/>
              <w:bCs/>
              <w:sz w:val="24"/>
            </w:rPr>
            <w:fldChar w:fldCharType="end"/>
          </w:r>
          <w:r>
            <w:rPr>
              <w:rFonts w:hint="eastAsia"/>
              <w:b/>
              <w:bCs/>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_Toc17981 </w:instrText>
          </w:r>
          <w:r>
            <w:rPr>
              <w:rFonts w:hint="eastAsia"/>
              <w:sz w:val="24"/>
            </w:rPr>
            <w:fldChar w:fldCharType="separate"/>
          </w:r>
          <w:r>
            <w:rPr>
              <w:rFonts w:hint="default"/>
              <w:sz w:val="24"/>
            </w:rPr>
            <w:t xml:space="preserve">一、 </w:t>
          </w:r>
          <w:r>
            <w:rPr>
              <w:rFonts w:hint="eastAsia"/>
              <w:sz w:val="24"/>
            </w:rPr>
            <w:t>收入支出决算总体情况说明</w:t>
          </w:r>
          <w:r>
            <w:rPr>
              <w:rFonts w:hint="eastAsia"/>
              <w:sz w:val="24"/>
            </w:rPr>
            <w:tab/>
          </w:r>
          <w:r>
            <w:rPr>
              <w:rFonts w:hint="eastAsia"/>
              <w:sz w:val="24"/>
            </w:rPr>
            <w:fldChar w:fldCharType="begin"/>
          </w:r>
          <w:r>
            <w:rPr>
              <w:rFonts w:hint="eastAsia"/>
              <w:sz w:val="24"/>
            </w:rPr>
            <w:instrText xml:space="preserve"> PAGEREF _Toc17981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_Toc25791 </w:instrText>
          </w:r>
          <w:r>
            <w:rPr>
              <w:rFonts w:hint="eastAsia"/>
              <w:sz w:val="24"/>
            </w:rPr>
            <w:fldChar w:fldCharType="separate"/>
          </w:r>
          <w:r>
            <w:rPr>
              <w:rFonts w:hint="default"/>
              <w:sz w:val="24"/>
            </w:rPr>
            <w:t xml:space="preserve">二、 </w:t>
          </w:r>
          <w:r>
            <w:rPr>
              <w:rFonts w:hint="eastAsia"/>
              <w:sz w:val="24"/>
            </w:rPr>
            <w:t>收入决算情况说明</w:t>
          </w:r>
          <w:r>
            <w:rPr>
              <w:rFonts w:hint="eastAsia"/>
              <w:sz w:val="24"/>
            </w:rPr>
            <w:tab/>
          </w:r>
          <w:r>
            <w:rPr>
              <w:rFonts w:hint="eastAsia"/>
              <w:sz w:val="24"/>
            </w:rPr>
            <w:fldChar w:fldCharType="begin"/>
          </w:r>
          <w:r>
            <w:rPr>
              <w:rFonts w:hint="eastAsia"/>
              <w:sz w:val="24"/>
            </w:rPr>
            <w:instrText xml:space="preserve"> PAGEREF _Toc25791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_Toc26012 </w:instrText>
          </w:r>
          <w:r>
            <w:rPr>
              <w:rFonts w:hint="eastAsia"/>
              <w:sz w:val="24"/>
            </w:rPr>
            <w:fldChar w:fldCharType="separate"/>
          </w:r>
          <w:r>
            <w:rPr>
              <w:rFonts w:hint="eastAsia"/>
              <w:sz w:val="24"/>
              <w:lang w:eastAsia="zh-CN"/>
            </w:rPr>
            <w:t>三、</w:t>
          </w:r>
          <w:r>
            <w:rPr>
              <w:rFonts w:hint="eastAsia"/>
              <w:sz w:val="24"/>
            </w:rPr>
            <w:t>支出决算情况说明</w:t>
          </w:r>
          <w:r>
            <w:rPr>
              <w:rFonts w:hint="eastAsia"/>
              <w:sz w:val="24"/>
            </w:rPr>
            <w:tab/>
          </w:r>
          <w:r>
            <w:rPr>
              <w:rFonts w:hint="eastAsia"/>
              <w:sz w:val="24"/>
            </w:rPr>
            <w:fldChar w:fldCharType="begin"/>
          </w:r>
          <w:r>
            <w:rPr>
              <w:rFonts w:hint="eastAsia"/>
              <w:sz w:val="24"/>
            </w:rPr>
            <w:instrText xml:space="preserve"> PAGEREF _Toc26012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_Toc24933 </w:instrText>
          </w:r>
          <w:r>
            <w:rPr>
              <w:rFonts w:hint="eastAsia"/>
              <w:sz w:val="24"/>
            </w:rPr>
            <w:fldChar w:fldCharType="separate"/>
          </w:r>
          <w:r>
            <w:rPr>
              <w:rFonts w:hint="eastAsia"/>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_Toc24933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_Toc21319 </w:instrText>
          </w:r>
          <w:r>
            <w:rPr>
              <w:rFonts w:hint="eastAsia"/>
              <w:sz w:val="24"/>
            </w:rPr>
            <w:fldChar w:fldCharType="separate"/>
          </w:r>
          <w:r>
            <w:rPr>
              <w:rFonts w:hint="eastAsia"/>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_Toc21319 \h </w:instrText>
          </w:r>
          <w:r>
            <w:rPr>
              <w:rFonts w:hint="eastAsia"/>
              <w:sz w:val="24"/>
            </w:rPr>
            <w:fldChar w:fldCharType="separate"/>
          </w:r>
          <w:r>
            <w:rPr>
              <w:rFonts w:hint="eastAsia"/>
              <w:sz w:val="24"/>
            </w:rPr>
            <w:t>8</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_Toc29443 </w:instrText>
          </w:r>
          <w:r>
            <w:rPr>
              <w:rFonts w:hint="eastAsia"/>
              <w:sz w:val="24"/>
            </w:rP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_Toc29443 \h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_Toc9025 </w:instrText>
          </w:r>
          <w:r>
            <w:rPr>
              <w:rFonts w:hint="eastAsia"/>
              <w:sz w:val="24"/>
            </w:rPr>
            <w:fldChar w:fldCharType="separate"/>
          </w:r>
          <w:r>
            <w:rPr>
              <w:rFonts w:hint="eastAsia"/>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_Toc9025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_Toc22600 </w:instrText>
          </w:r>
          <w:r>
            <w:rPr>
              <w:rFonts w:hint="eastAsia"/>
              <w:sz w:val="24"/>
            </w:rP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_Toc22600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_Toc29340 </w:instrText>
          </w:r>
          <w:r>
            <w:rPr>
              <w:rFonts w:hint="eastAsia"/>
              <w:sz w:val="24"/>
            </w:rPr>
            <w:fldChar w:fldCharType="separate"/>
          </w:r>
          <w:r>
            <w:rPr>
              <w:rFonts w:hint="eastAsia"/>
              <w:sz w:val="24"/>
              <w:lang w:eastAsia="zh-CN"/>
            </w:rPr>
            <w:t>九、</w:t>
          </w:r>
          <w:r>
            <w:rPr>
              <w:rFonts w:hint="eastAsia"/>
              <w:sz w:val="24"/>
            </w:rPr>
            <w:t>国有资本经营预算支出决算情况说明</w:t>
          </w:r>
          <w:r>
            <w:rPr>
              <w:rFonts w:hint="eastAsia"/>
              <w:sz w:val="24"/>
            </w:rPr>
            <w:tab/>
          </w:r>
          <w:r>
            <w:rPr>
              <w:rFonts w:hint="eastAsia"/>
              <w:sz w:val="24"/>
            </w:rPr>
            <w:fldChar w:fldCharType="begin"/>
          </w:r>
          <w:r>
            <w:rPr>
              <w:rFonts w:hint="eastAsia"/>
              <w:sz w:val="24"/>
            </w:rPr>
            <w:instrText xml:space="preserve"> PAGEREF _Toc29340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_Toc5978 </w:instrText>
          </w:r>
          <w:r>
            <w:rPr>
              <w:rFonts w:hint="eastAsia"/>
              <w:sz w:val="24"/>
            </w:rPr>
            <w:fldChar w:fldCharType="separate"/>
          </w:r>
          <w:r>
            <w:rPr>
              <w:rFonts w:hint="eastAsia"/>
              <w:sz w:val="24"/>
              <w:lang w:eastAsia="zh-CN"/>
            </w:rPr>
            <w:t>十、</w:t>
          </w:r>
          <w:r>
            <w:rPr>
              <w:rFonts w:hint="eastAsia"/>
              <w:sz w:val="24"/>
            </w:rPr>
            <w:t>其他重要事项的情况说明</w:t>
          </w:r>
          <w:r>
            <w:rPr>
              <w:rFonts w:hint="eastAsia"/>
              <w:sz w:val="24"/>
            </w:rPr>
            <w:tab/>
          </w:r>
          <w:r>
            <w:rPr>
              <w:rFonts w:hint="eastAsia"/>
              <w:sz w:val="24"/>
            </w:rPr>
            <w:fldChar w:fldCharType="begin"/>
          </w:r>
          <w:r>
            <w:rPr>
              <w:rFonts w:hint="eastAsia"/>
              <w:sz w:val="24"/>
            </w:rPr>
            <w:instrText xml:space="preserve"> PAGEREF _Toc5978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0"/>
            <w:adjustRightInd w:val="0"/>
            <w:snapToGrid w:val="0"/>
            <w:spacing w:before="0" w:line="440" w:lineRule="exact"/>
            <w:jc w:val="left"/>
            <w:outlineLvl w:val="0"/>
            <w:rPr>
              <w:rFonts w:hint="eastAsia"/>
              <w:sz w:val="24"/>
            </w:rPr>
          </w:pPr>
          <w:r>
            <w:rPr>
              <w:rFonts w:hint="eastAsia"/>
              <w:sz w:val="24"/>
            </w:rPr>
            <w:fldChar w:fldCharType="begin"/>
          </w:r>
          <w:r>
            <w:rPr>
              <w:rFonts w:hint="eastAsia"/>
              <w:sz w:val="24"/>
            </w:rPr>
            <w:instrText xml:space="preserve"> HYPERLINK \l _Toc11810 </w:instrText>
          </w:r>
          <w:r>
            <w:rPr>
              <w:rFonts w:hint="eastAsia"/>
              <w:sz w:val="24"/>
            </w:rPr>
            <w:fldChar w:fldCharType="separate"/>
          </w:r>
          <w:r>
            <w:rPr>
              <w:rFonts w:hint="eastAsia"/>
              <w:b/>
              <w:bCs/>
              <w:sz w:val="24"/>
            </w:rPr>
            <w:t>第三部分 名词解释</w:t>
          </w:r>
          <w:r>
            <w:rPr>
              <w:rFonts w:hint="eastAsia"/>
              <w:b/>
              <w:bCs/>
              <w:sz w:val="24"/>
            </w:rPr>
            <w:tab/>
          </w:r>
          <w:r>
            <w:rPr>
              <w:rFonts w:hint="eastAsia"/>
              <w:sz w:val="24"/>
            </w:rPr>
            <w:fldChar w:fldCharType="begin"/>
          </w:r>
          <w:r>
            <w:rPr>
              <w:rFonts w:hint="eastAsia"/>
              <w:sz w:val="24"/>
            </w:rPr>
            <w:instrText xml:space="preserve"> PAGEREF _Toc11810 \h </w:instrText>
          </w:r>
          <w:r>
            <w:rPr>
              <w:rFonts w:hint="eastAsia"/>
              <w:sz w:val="24"/>
            </w:rPr>
            <w:fldChar w:fldCharType="separate"/>
          </w:r>
          <w:r>
            <w:rPr>
              <w:rFonts w:hint="eastAsia"/>
              <w:sz w:val="24"/>
            </w:rPr>
            <w:t>15</w:t>
          </w:r>
          <w:r>
            <w:rPr>
              <w:rFonts w:hint="eastAsia"/>
              <w:sz w:val="24"/>
            </w:rPr>
            <w:fldChar w:fldCharType="end"/>
          </w:r>
          <w:r>
            <w:rPr>
              <w:rFonts w:hint="eastAsia"/>
              <w:sz w:val="24"/>
            </w:rPr>
            <w:fldChar w:fldCharType="end"/>
          </w:r>
        </w:p>
        <w:p>
          <w:pPr>
            <w:pStyle w:val="10"/>
            <w:adjustRightInd w:val="0"/>
            <w:snapToGrid w:val="0"/>
            <w:spacing w:before="0" w:line="440" w:lineRule="exact"/>
            <w:jc w:val="left"/>
            <w:outlineLvl w:val="0"/>
            <w:rPr>
              <w:rFonts w:hint="eastAsia"/>
              <w:b/>
              <w:bCs/>
              <w:sz w:val="24"/>
            </w:rPr>
          </w:pPr>
          <w:r>
            <w:rPr>
              <w:rFonts w:hint="eastAsia"/>
              <w:b/>
              <w:bCs/>
              <w:sz w:val="24"/>
            </w:rPr>
            <w:fldChar w:fldCharType="begin"/>
          </w:r>
          <w:r>
            <w:rPr>
              <w:rFonts w:hint="eastAsia"/>
              <w:b/>
              <w:bCs/>
              <w:sz w:val="24"/>
            </w:rPr>
            <w:instrText xml:space="preserve"> HYPERLINK \l _Toc31286 </w:instrText>
          </w:r>
          <w:r>
            <w:rPr>
              <w:rFonts w:hint="eastAsia"/>
              <w:b/>
              <w:bCs/>
              <w:sz w:val="24"/>
            </w:rPr>
            <w:fldChar w:fldCharType="separate"/>
          </w:r>
          <w:r>
            <w:rPr>
              <w:rFonts w:hint="eastAsia"/>
              <w:b/>
              <w:bCs/>
              <w:sz w:val="24"/>
            </w:rPr>
            <w:t>第四部分 附件</w:t>
          </w:r>
          <w:r>
            <w:rPr>
              <w:rFonts w:hint="eastAsia"/>
              <w:b/>
              <w:bCs/>
              <w:sz w:val="24"/>
            </w:rPr>
            <w:tab/>
          </w:r>
          <w:r>
            <w:rPr>
              <w:rFonts w:hint="eastAsia"/>
              <w:b/>
              <w:bCs/>
              <w:sz w:val="24"/>
            </w:rPr>
            <w:fldChar w:fldCharType="begin"/>
          </w:r>
          <w:r>
            <w:rPr>
              <w:rFonts w:hint="eastAsia"/>
              <w:b/>
              <w:bCs/>
              <w:sz w:val="24"/>
            </w:rPr>
            <w:instrText xml:space="preserve"> PAGEREF _Toc31286 \h </w:instrText>
          </w:r>
          <w:r>
            <w:rPr>
              <w:rFonts w:hint="eastAsia"/>
              <w:b/>
              <w:bCs/>
              <w:sz w:val="24"/>
            </w:rPr>
            <w:fldChar w:fldCharType="separate"/>
          </w:r>
          <w:r>
            <w:rPr>
              <w:rFonts w:hint="eastAsia"/>
              <w:b/>
              <w:bCs/>
              <w:sz w:val="24"/>
            </w:rPr>
            <w:t>18</w:t>
          </w:r>
          <w:r>
            <w:rPr>
              <w:rFonts w:hint="eastAsia"/>
              <w:b/>
              <w:bCs/>
              <w:sz w:val="24"/>
            </w:rPr>
            <w:fldChar w:fldCharType="end"/>
          </w:r>
          <w:r>
            <w:rPr>
              <w:rFonts w:hint="eastAsia"/>
              <w:b/>
              <w:bCs/>
              <w:sz w:val="24"/>
            </w:rPr>
            <w:fldChar w:fldCharType="end"/>
          </w:r>
        </w:p>
        <w:p>
          <w:pPr>
            <w:pStyle w:val="10"/>
            <w:adjustRightInd w:val="0"/>
            <w:snapToGrid w:val="0"/>
            <w:spacing w:before="0" w:line="440" w:lineRule="exact"/>
            <w:jc w:val="left"/>
            <w:outlineLvl w:val="0"/>
            <w:rPr>
              <w:rFonts w:hint="eastAsia"/>
              <w:b/>
              <w:bCs/>
              <w:sz w:val="24"/>
            </w:rPr>
          </w:pPr>
          <w:r>
            <w:rPr>
              <w:rFonts w:hint="eastAsia"/>
              <w:b/>
              <w:bCs/>
              <w:sz w:val="24"/>
            </w:rPr>
            <w:fldChar w:fldCharType="begin"/>
          </w:r>
          <w:r>
            <w:rPr>
              <w:rFonts w:hint="eastAsia"/>
              <w:b/>
              <w:bCs/>
              <w:sz w:val="24"/>
            </w:rPr>
            <w:instrText xml:space="preserve"> HYPERLINK \l _Toc27537 </w:instrText>
          </w:r>
          <w:r>
            <w:rPr>
              <w:rFonts w:hint="eastAsia"/>
              <w:b/>
              <w:bCs/>
              <w:sz w:val="24"/>
            </w:rPr>
            <w:fldChar w:fldCharType="separate"/>
          </w:r>
          <w:r>
            <w:rPr>
              <w:rFonts w:hint="eastAsia"/>
              <w:b/>
              <w:bCs/>
              <w:sz w:val="24"/>
            </w:rPr>
            <w:t>第五部分 附表</w:t>
          </w:r>
          <w:r>
            <w:rPr>
              <w:rFonts w:hint="eastAsia"/>
              <w:b/>
              <w:bCs/>
              <w:sz w:val="24"/>
            </w:rPr>
            <w:tab/>
          </w:r>
          <w:r>
            <w:rPr>
              <w:rFonts w:hint="eastAsia"/>
              <w:b/>
              <w:bCs/>
              <w:sz w:val="24"/>
            </w:rPr>
            <w:fldChar w:fldCharType="begin"/>
          </w:r>
          <w:r>
            <w:rPr>
              <w:rFonts w:hint="eastAsia"/>
              <w:b/>
              <w:bCs/>
              <w:sz w:val="24"/>
            </w:rPr>
            <w:instrText xml:space="preserve"> PAGEREF _Toc27537 \h </w:instrText>
          </w:r>
          <w:r>
            <w:rPr>
              <w:rFonts w:hint="eastAsia"/>
              <w:b/>
              <w:bCs/>
              <w:sz w:val="24"/>
            </w:rPr>
            <w:fldChar w:fldCharType="separate"/>
          </w:r>
          <w:r>
            <w:rPr>
              <w:rFonts w:hint="eastAsia"/>
              <w:b/>
              <w:bCs/>
              <w:sz w:val="24"/>
            </w:rPr>
            <w:t>19</w:t>
          </w:r>
          <w:r>
            <w:rPr>
              <w:rFonts w:hint="eastAsia"/>
              <w:b/>
              <w:bCs/>
              <w:sz w:val="24"/>
            </w:rPr>
            <w:fldChar w:fldCharType="end"/>
          </w:r>
          <w:r>
            <w:rPr>
              <w:rFonts w:hint="eastAsia"/>
              <w:b/>
              <w:bCs/>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_Toc19999 </w:instrText>
          </w:r>
          <w:r>
            <w:rPr>
              <w:rFonts w:hint="eastAsia"/>
              <w:sz w:val="24"/>
            </w:rP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_Toc19999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_Toc8855 </w:instrText>
          </w:r>
          <w:r>
            <w:rPr>
              <w:rFonts w:hint="eastAsia"/>
              <w:sz w:val="24"/>
            </w:rP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_Toc8855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_Toc6518 </w:instrText>
          </w:r>
          <w:r>
            <w:rPr>
              <w:rFonts w:hint="eastAsia"/>
              <w:sz w:val="24"/>
            </w:rP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_Toc6518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_Toc24048 </w:instrText>
          </w:r>
          <w:r>
            <w:rPr>
              <w:rFonts w:hint="eastAsia"/>
              <w:sz w:val="24"/>
            </w:rP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_Toc24048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_Toc17266 </w:instrText>
          </w:r>
          <w:r>
            <w:rPr>
              <w:rFonts w:hint="eastAsia"/>
              <w:sz w:val="24"/>
            </w:rP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_Toc17266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_Toc12174 </w:instrText>
          </w:r>
          <w:r>
            <w:rPr>
              <w:rFonts w:hint="eastAsia"/>
              <w:sz w:val="24"/>
            </w:rP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_Toc12174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_Toc13565 </w:instrText>
          </w:r>
          <w:r>
            <w:rPr>
              <w:rFonts w:hint="eastAsia"/>
              <w:sz w:val="24"/>
            </w:rP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_Toc13565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_Toc10327 </w:instrText>
          </w:r>
          <w:r>
            <w:rPr>
              <w:rFonts w:hint="eastAsia"/>
              <w:sz w:val="24"/>
            </w:rP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_Toc10327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_Toc24714 </w:instrText>
          </w:r>
          <w:r>
            <w:rPr>
              <w:rFonts w:hint="eastAsia"/>
              <w:sz w:val="24"/>
            </w:rP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_Toc24714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_Toc27042 </w:instrText>
          </w:r>
          <w:r>
            <w:rPr>
              <w:rFonts w:hint="eastAsia"/>
              <w:sz w:val="24"/>
            </w:rPr>
            <w:fldChar w:fldCharType="separate"/>
          </w:r>
          <w:r>
            <w:rPr>
              <w:rFonts w:hint="eastAsia"/>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_Toc27042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_Toc16370 </w:instrText>
          </w:r>
          <w:r>
            <w:rPr>
              <w:rFonts w:hint="eastAsia"/>
              <w:sz w:val="24"/>
            </w:rPr>
            <w:fldChar w:fldCharType="separate"/>
          </w:r>
          <w:r>
            <w:rPr>
              <w:rFonts w:hint="eastAsia"/>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_Toc16370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_Toc5156 </w:instrText>
          </w:r>
          <w:r>
            <w:rPr>
              <w:rFonts w:hint="eastAsia"/>
              <w:sz w:val="24"/>
            </w:rPr>
            <w:fldChar w:fldCharType="separate"/>
          </w:r>
          <w:r>
            <w:rPr>
              <w:rFonts w:hint="eastAsia"/>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_Toc5156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_Toc20059 </w:instrText>
          </w:r>
          <w:r>
            <w:rPr>
              <w:rFonts w:hint="eastAsia"/>
              <w:sz w:val="24"/>
            </w:rPr>
            <w:fldChar w:fldCharType="separate"/>
          </w:r>
          <w:r>
            <w:rPr>
              <w:rFonts w:hint="eastAsia"/>
              <w:sz w:val="24"/>
            </w:rPr>
            <w:t>十三、财政拨款“三公”经费支出决算表</w:t>
          </w:r>
          <w:r>
            <w:rPr>
              <w:rFonts w:hint="eastAsia"/>
              <w:sz w:val="24"/>
            </w:rPr>
            <w:tab/>
          </w:r>
          <w:r>
            <w:rPr>
              <w:rFonts w:hint="eastAsia"/>
              <w:sz w:val="24"/>
            </w:rPr>
            <w:fldChar w:fldCharType="begin"/>
          </w:r>
          <w:r>
            <w:rPr>
              <w:rFonts w:hint="eastAsia"/>
              <w:sz w:val="24"/>
            </w:rPr>
            <w:instrText xml:space="preserve"> PAGEREF _Toc20059 \h </w:instrText>
          </w:r>
          <w:r>
            <w:rPr>
              <w:rFonts w:hint="eastAsia"/>
              <w:sz w:val="24"/>
            </w:rPr>
            <w:fldChar w:fldCharType="separate"/>
          </w:r>
          <w:r>
            <w:rPr>
              <w:rFonts w:hint="eastAsia"/>
              <w:sz w:val="24"/>
            </w:rPr>
            <w:t>19</w:t>
          </w:r>
          <w:r>
            <w:rPr>
              <w:rFonts w:hint="eastAsia"/>
              <w:sz w:val="24"/>
            </w:rPr>
            <w:fldChar w:fldCharType="end"/>
          </w:r>
          <w:r>
            <w:rPr>
              <w:rFonts w:hint="eastAsia"/>
              <w:sz w:val="24"/>
            </w:rPr>
            <w:fldChar w:fldCharType="end"/>
          </w:r>
        </w:p>
        <w:p>
          <w:pPr>
            <w:pStyle w:val="11"/>
            <w:adjustRightInd w:val="0"/>
            <w:snapToGrid w:val="0"/>
            <w:spacing w:line="440" w:lineRule="exact"/>
            <w:jc w:val="left"/>
            <w:rPr>
              <w:rFonts w:hint="eastAsia"/>
              <w:sz w:val="24"/>
            </w:rPr>
          </w:pPr>
          <w:r>
            <w:rPr>
              <w:rFonts w:hint="eastAsia"/>
              <w:sz w:val="24"/>
            </w:rPr>
            <w:fldChar w:fldCharType="end"/>
          </w:r>
        </w:p>
      </w:sdtContent>
    </w:sdt>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jc w:val="center"/>
      </w:pPr>
      <w:bookmarkStart w:id="14" w:name="_Toc6546"/>
      <w:bookmarkStart w:id="15" w:name="_Toc15396599"/>
      <w:bookmarkStart w:id="16" w:name="_Toc15377196"/>
      <w:r>
        <w:rPr>
          <w:rFonts w:hint="eastAsia"/>
        </w:rPr>
        <w:t>第一部分 单位概况</w:t>
      </w:r>
      <w:bookmarkEnd w:id="14"/>
      <w:bookmarkEnd w:id="15"/>
      <w:bookmarkEnd w:id="16"/>
    </w:p>
    <w:p>
      <w:pPr>
        <w:widowControl/>
        <w:jc w:val="left"/>
        <w:rPr>
          <w:rFonts w:ascii="黑体" w:eastAsia="黑体"/>
          <w:sz w:val="32"/>
          <w:szCs w:val="32"/>
        </w:rPr>
      </w:pPr>
    </w:p>
    <w:p>
      <w:pPr>
        <w:pStyle w:val="4"/>
        <w:numPr>
          <w:ilvl w:val="0"/>
          <w:numId w:val="1"/>
        </w:numPr>
        <w:bidi w:val="0"/>
      </w:pPr>
      <w:bookmarkStart w:id="17" w:name="_Toc28089"/>
      <w:bookmarkStart w:id="18" w:name="_Toc15377197"/>
      <w:bookmarkStart w:id="19" w:name="_Toc15396600"/>
      <w:r>
        <w:rPr>
          <w:rFonts w:hint="eastAsia"/>
        </w:rPr>
        <w:t>主要职责</w:t>
      </w:r>
      <w:bookmarkEnd w:id="17"/>
    </w:p>
    <w:p>
      <w:pPr>
        <w:pStyle w:val="4"/>
        <w:ind w:firstLine="640" w:firstLineChars="200"/>
        <w:rPr>
          <w:rFonts w:ascii="仿宋" w:hAnsi="仿宋" w:eastAsia="仿宋"/>
          <w:b w:val="0"/>
          <w:bCs w:val="0"/>
        </w:rPr>
      </w:pPr>
      <w:r>
        <w:rPr>
          <w:rFonts w:hint="eastAsia" w:ascii="仿宋" w:hAnsi="仿宋" w:eastAsia="仿宋"/>
          <w:b w:val="0"/>
        </w:rPr>
        <w:t xml:space="preserve"> </w:t>
      </w:r>
      <w:bookmarkStart w:id="20" w:name="_Toc17467"/>
      <w:r>
        <w:rPr>
          <w:rFonts w:hint="eastAsia" w:ascii="仿宋" w:hAnsi="仿宋" w:eastAsia="仿宋" w:cs="仿宋_GB2312"/>
          <w:b w:val="0"/>
          <w:color w:val="000000"/>
        </w:rPr>
        <w:t>负责军地双方上级职能部门审核认定的军休干部接收安置、配合部队做好军休干部的接收进所工作，负责落实军休干部移交地方组织关系转移、参加地方医保、落户等有关的事宜。组织军休干部学习中央、省、市有关文件，参加党支部各项活动，定期过党组织生活。定期或不定期召开军休干部座谈会，重大节日开展慰问活动。安排好军休干部的文化生活，增强军休干部体质，丰富军休人员的晚年生活。及时足额发放军休干部退休费、医疗费，无军籍职工、军休遗属医疗费生活补助。为符合条件的军休干部申报发放护理费，符合条件的家属、遗属申报发放医疗补助、生活补助。积极开展卫生知识教育和医疗保健活动，定期组织退休干部体检。</w:t>
      </w:r>
      <w:bookmarkEnd w:id="20"/>
    </w:p>
    <w:p>
      <w:pPr>
        <w:pStyle w:val="4"/>
        <w:bidi w:val="0"/>
        <w:rPr>
          <w:rFonts w:hint="eastAsia"/>
        </w:rPr>
      </w:pPr>
      <w:bookmarkStart w:id="21" w:name="_Toc31555"/>
      <w:r>
        <w:rPr>
          <w:rFonts w:hint="eastAsia"/>
        </w:rPr>
        <w:t>二、机构设置</w:t>
      </w:r>
      <w:bookmarkEnd w:id="21"/>
    </w:p>
    <w:p>
      <w:pPr>
        <w:rPr>
          <w:rFonts w:ascii="仿宋" w:hAnsi="仿宋" w:eastAsia="仿宋"/>
          <w:sz w:val="32"/>
          <w:szCs w:val="32"/>
        </w:rPr>
      </w:pPr>
      <w:r>
        <w:rPr>
          <w:rFonts w:hint="eastAsia"/>
        </w:rPr>
        <w:t xml:space="preserve">    </w:t>
      </w:r>
      <w:r>
        <w:rPr>
          <w:rFonts w:hint="eastAsia" w:ascii="仿宋" w:hAnsi="仿宋" w:eastAsia="仿宋"/>
          <w:sz w:val="32"/>
          <w:szCs w:val="32"/>
        </w:rPr>
        <w:t>攀枝花市军队离退休干部休养所为攀枝花市退役军人事务局下属全额拨款公益一类事业单位，机构编制数11个，其中管理岗位5个，专业技术岗位4个，工勤技能岗位2个。年末在编人员11人，退休人员43人。</w:t>
      </w:r>
    </w:p>
    <w:bookmarkEnd w:id="18"/>
    <w:bookmarkEnd w:id="19"/>
    <w:p>
      <w:pPr>
        <w:widowControl/>
        <w:jc w:val="left"/>
        <w:rPr>
          <w:rFonts w:ascii="仿宋" w:hAnsi="仿宋" w:eastAsia="仿宋"/>
          <w:kern w:val="0"/>
          <w:sz w:val="32"/>
          <w:szCs w:val="32"/>
        </w:rPr>
      </w:pPr>
      <w:r>
        <w:rPr>
          <w:rFonts w:ascii="仿宋" w:hAnsi="仿宋" w:eastAsia="仿宋"/>
          <w:sz w:val="32"/>
          <w:szCs w:val="32"/>
        </w:rPr>
        <w:br w:type="page"/>
      </w:r>
    </w:p>
    <w:p>
      <w:pPr>
        <w:pStyle w:val="3"/>
        <w:bidi w:val="0"/>
        <w:jc w:val="center"/>
      </w:pPr>
      <w:bookmarkStart w:id="22" w:name="_Toc15377204"/>
      <w:bookmarkStart w:id="23" w:name="_Toc15396602"/>
      <w:bookmarkStart w:id="24" w:name="_Toc19507"/>
      <w:r>
        <w:rPr>
          <w:rFonts w:hint="eastAsia"/>
        </w:rPr>
        <w:t>第二部分 2022年度单位决算情况说明</w:t>
      </w:r>
      <w:bookmarkEnd w:id="22"/>
      <w:bookmarkEnd w:id="23"/>
      <w:bookmarkEnd w:id="24"/>
    </w:p>
    <w:p/>
    <w:p>
      <w:pPr>
        <w:pStyle w:val="4"/>
        <w:numPr>
          <w:ilvl w:val="0"/>
          <w:numId w:val="2"/>
        </w:numPr>
        <w:bidi w:val="0"/>
      </w:pPr>
      <w:bookmarkStart w:id="25" w:name="_Toc15396603"/>
      <w:bookmarkStart w:id="26" w:name="_Toc17981"/>
      <w:bookmarkStart w:id="27" w:name="_Toc15377205"/>
      <w:r>
        <w:rPr>
          <w:rFonts w:hint="eastAsia"/>
        </w:rPr>
        <w:t>收入支出决算总体情况说明</w:t>
      </w:r>
      <w:bookmarkEnd w:id="25"/>
      <w:bookmarkEnd w:id="26"/>
      <w:bookmarkEnd w:id="27"/>
    </w:p>
    <w:p>
      <w:pPr>
        <w:spacing w:line="600" w:lineRule="exact"/>
        <w:ind w:firstLine="640"/>
        <w:rPr>
          <w:rFonts w:hint="eastAsia" w:ascii="仿宋" w:hAnsi="仿宋" w:eastAsia="仿宋"/>
          <w:sz w:val="32"/>
          <w:szCs w:val="32"/>
        </w:rPr>
      </w:pPr>
      <w:r>
        <w:rPr>
          <w:rFonts w:hint="eastAsia" w:ascii="仿宋" w:hAnsi="仿宋" w:eastAsia="仿宋"/>
          <w:sz w:val="32"/>
          <w:szCs w:val="32"/>
        </w:rPr>
        <w:t>2022年度收、支总计1640.17万元。与2021年相比，收入增加218.60万元，增长36.51%,主要变动原因是2022年年初结转结余资金减少，2022年收入增加。支出减少15.09万元，下降1.80%。主要变动原因是2022年未支付军休所建设项目工程款。</w:t>
      </w:r>
    </w:p>
    <w:p>
      <w:pPr>
        <w:pStyle w:val="2"/>
        <w:spacing w:before="93"/>
      </w:pPr>
      <w:r>
        <w:drawing>
          <wp:inline distT="0" distB="0" distL="0" distR="0">
            <wp:extent cx="5274310" cy="3081020"/>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srcRect/>
                    <a:stretch>
                      <a:fillRect/>
                    </a:stretch>
                  </pic:blipFill>
                  <pic:spPr>
                    <a:xfrm>
                      <a:off x="0" y="0"/>
                      <a:ext cx="5274310" cy="3081324"/>
                    </a:xfrm>
                    <a:prstGeom prst="rect">
                      <a:avLst/>
                    </a:prstGeom>
                    <a:noFill/>
                    <a:ln w="9525">
                      <a:noFill/>
                      <a:miter lim="800000"/>
                      <a:headEnd/>
                      <a:tailEnd/>
                    </a:ln>
                  </pic:spPr>
                </pic:pic>
              </a:graphicData>
            </a:graphic>
          </wp:inline>
        </w:drawing>
      </w:r>
    </w:p>
    <w:p>
      <w:pPr>
        <w:spacing w:line="600" w:lineRule="exact"/>
        <w:ind w:firstLine="640" w:firstLineChars="200"/>
        <w:jc w:val="cente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numPr>
          <w:ilvl w:val="0"/>
          <w:numId w:val="2"/>
        </w:numPr>
        <w:bidi w:val="0"/>
      </w:pPr>
      <w:bookmarkStart w:id="28" w:name="_Toc25791"/>
      <w:bookmarkStart w:id="29" w:name="_Toc15377206"/>
      <w:bookmarkStart w:id="30" w:name="_Toc15396604"/>
      <w:r>
        <w:rPr>
          <w:rFonts w:hint="eastAsia"/>
        </w:rPr>
        <w:t>收入决算情况说明</w:t>
      </w:r>
      <w:bookmarkEnd w:id="28"/>
      <w:bookmarkEnd w:id="29"/>
      <w:bookmarkEnd w:id="30"/>
    </w:p>
    <w:p>
      <w:pPr>
        <w:spacing w:line="600" w:lineRule="exact"/>
        <w:ind w:firstLine="640"/>
        <w:rPr>
          <w:rFonts w:hint="eastAsia" w:ascii="仿宋" w:hAnsi="仿宋" w:eastAsia="仿宋"/>
          <w:sz w:val="32"/>
          <w:szCs w:val="32"/>
        </w:rPr>
      </w:pPr>
      <w:bookmarkStart w:id="31" w:name="_Toc10699"/>
      <w:r>
        <w:rPr>
          <w:rFonts w:hint="eastAsia" w:ascii="仿宋" w:hAnsi="仿宋" w:eastAsia="仿宋"/>
          <w:sz w:val="32"/>
          <w:szCs w:val="32"/>
        </w:rPr>
        <w:t>2022年本年收入合计817.31万元，其中：一般公共预算财政拨款收入787.41万元，占96.34%；政府性基金预算财政拨款收入0万元，占0%；国有资本经营预算财政拨款收入0万元，占0%；上级补助收入0万元，占0%；事业收入0万元，占0%；经营收入0万元，占0%；附属单位上缴收入0万元，占0%；其他收入29.90万元，占3.66%。</w:t>
      </w:r>
      <w:bookmarkEnd w:id="31"/>
    </w:p>
    <w:p>
      <w:pPr>
        <w:spacing w:line="600" w:lineRule="exact"/>
        <w:outlineLvl w:val="9"/>
        <w:rPr>
          <w:rFonts w:ascii="仿宋" w:hAnsi="仿宋" w:eastAsia="仿宋"/>
          <w:sz w:val="32"/>
          <w:szCs w:val="32"/>
        </w:rPr>
      </w:pPr>
    </w:p>
    <w:p>
      <w:pPr>
        <w:pStyle w:val="2"/>
        <w:spacing w:before="93"/>
      </w:pPr>
      <w:r>
        <w:drawing>
          <wp:inline distT="0" distB="0" distL="0" distR="0">
            <wp:extent cx="5274310" cy="306514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rcRect/>
                    <a:stretch>
                      <a:fillRect/>
                    </a:stretch>
                  </pic:blipFill>
                  <pic:spPr>
                    <a:xfrm>
                      <a:off x="0" y="0"/>
                      <a:ext cx="5274310" cy="3065677"/>
                    </a:xfrm>
                    <a:prstGeom prst="rect">
                      <a:avLst/>
                    </a:prstGeom>
                    <a:noFill/>
                    <a:ln w="9525">
                      <a:noFill/>
                      <a:miter lim="800000"/>
                      <a:headEnd/>
                      <a:tailEnd/>
                    </a:ln>
                  </pic:spPr>
                </pic:pic>
              </a:graphicData>
            </a:graphic>
          </wp:inline>
        </w:drawing>
      </w:r>
    </w:p>
    <w:p>
      <w:pPr>
        <w:spacing w:line="600" w:lineRule="exact"/>
        <w:jc w:val="center"/>
        <w:rPr>
          <w:rFonts w:hint="eastAsia" w:ascii="仿宋" w:hAnsi="仿宋" w:eastAsia="仿宋"/>
          <w:sz w:val="32"/>
          <w:szCs w:val="32"/>
          <w:lang w:val="en-US" w:eastAsia="zh-CN"/>
        </w:rPr>
      </w:pPr>
      <w:r>
        <w:rPr>
          <w:rFonts w:hint="eastAsia" w:ascii="仿宋" w:hAnsi="仿宋" w:eastAsia="仿宋"/>
          <w:sz w:val="32"/>
          <w:szCs w:val="32"/>
        </w:rPr>
        <w:t>（图2：收入决算结构图）</w:t>
      </w:r>
    </w:p>
    <w:p>
      <w:pPr>
        <w:pStyle w:val="4"/>
        <w:bidi w:val="0"/>
        <w:outlineLvl w:val="9"/>
      </w:pPr>
    </w:p>
    <w:p>
      <w:pPr>
        <w:pStyle w:val="4"/>
        <w:bidi w:val="0"/>
        <w:ind w:firstLine="643" w:firstLineChars="200"/>
      </w:pPr>
      <w:bookmarkStart w:id="32" w:name="_Toc15377207"/>
      <w:bookmarkStart w:id="33" w:name="_Toc15396605"/>
      <w:bookmarkStart w:id="34" w:name="_Toc26012"/>
      <w:r>
        <w:rPr>
          <w:rFonts w:hint="eastAsia"/>
          <w:lang w:eastAsia="zh-CN"/>
        </w:rPr>
        <w:t>三、</w:t>
      </w:r>
      <w:r>
        <w:rPr>
          <w:rFonts w:hint="eastAsia"/>
        </w:rPr>
        <w:t>支出决算情况说明</w:t>
      </w:r>
      <w:bookmarkEnd w:id="32"/>
      <w:bookmarkEnd w:id="33"/>
      <w:bookmarkEnd w:id="34"/>
    </w:p>
    <w:p>
      <w:pPr>
        <w:spacing w:line="600" w:lineRule="exact"/>
        <w:ind w:firstLine="640"/>
        <w:rPr>
          <w:rFonts w:hint="eastAsia" w:ascii="仿宋" w:hAnsi="仿宋" w:eastAsia="仿宋"/>
          <w:sz w:val="32"/>
          <w:szCs w:val="32"/>
        </w:rPr>
      </w:pPr>
      <w:bookmarkStart w:id="35" w:name="_Toc2873"/>
      <w:r>
        <w:rPr>
          <w:rFonts w:hint="eastAsia" w:ascii="仿宋" w:hAnsi="仿宋" w:eastAsia="仿宋"/>
          <w:sz w:val="32"/>
          <w:szCs w:val="32"/>
        </w:rPr>
        <w:t>2022年本年支出合计822.86万元，其中：基本支出269.51万元，占32.75%；项目支出553.35万元，占67.25%;上缴上级支出0万元，占0%；经营支出0万元，占0%；对附属单位补助支出0万元，占0%。</w:t>
      </w:r>
      <w:bookmarkEnd w:id="35"/>
    </w:p>
    <w:p>
      <w:pPr>
        <w:spacing w:line="600" w:lineRule="exact"/>
        <w:ind w:firstLine="643" w:firstLineChars="200"/>
        <w:outlineLvl w:val="9"/>
        <w:rPr>
          <w:rFonts w:ascii="仿宋" w:hAnsi="仿宋" w:eastAsia="仿宋"/>
          <w:b/>
          <w:sz w:val="32"/>
          <w:szCs w:val="32"/>
        </w:rPr>
      </w:pPr>
    </w:p>
    <w:p>
      <w:pPr>
        <w:spacing w:line="600" w:lineRule="exact"/>
        <w:ind w:firstLine="2310" w:firstLineChars="1100"/>
      </w:pPr>
      <w:r>
        <w:drawing>
          <wp:anchor distT="0" distB="0" distL="0" distR="0" simplePos="0" relativeHeight="251659264" behindDoc="0" locked="0" layoutInCell="1" allowOverlap="1">
            <wp:simplePos x="0" y="0"/>
            <wp:positionH relativeFrom="column">
              <wp:posOffset>95250</wp:posOffset>
            </wp:positionH>
            <wp:positionV relativeFrom="paragraph">
              <wp:posOffset>149225</wp:posOffset>
            </wp:positionV>
            <wp:extent cx="5274310" cy="3110230"/>
            <wp:effectExtent l="0" t="0" r="2540" b="1397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srcRect/>
                    <a:stretch>
                      <a:fillRect/>
                    </a:stretch>
                  </pic:blipFill>
                  <pic:spPr>
                    <a:xfrm>
                      <a:off x="0" y="0"/>
                      <a:ext cx="5274310" cy="3110345"/>
                    </a:xfrm>
                    <a:prstGeom prst="rect">
                      <a:avLst/>
                    </a:prstGeom>
                    <a:noFill/>
                    <a:ln w="9525">
                      <a:noFill/>
                      <a:miter lim="800000"/>
                      <a:headEnd/>
                      <a:tailEnd/>
                    </a:ln>
                  </pic:spPr>
                </pic:pic>
              </a:graphicData>
            </a:graphic>
          </wp:anchor>
        </w:drawing>
      </w:r>
      <w:r>
        <w:rPr>
          <w:rFonts w:hint="eastAsia" w:ascii="仿宋" w:hAnsi="仿宋" w:eastAsia="仿宋"/>
          <w:sz w:val="32"/>
          <w:szCs w:val="32"/>
        </w:rPr>
        <w:t>（图3：支出决算结构图）</w:t>
      </w:r>
    </w:p>
    <w:p>
      <w:pPr>
        <w:pStyle w:val="4"/>
        <w:bidi w:val="0"/>
        <w:ind w:firstLine="643" w:firstLineChars="200"/>
      </w:pPr>
      <w:bookmarkStart w:id="36" w:name="_Toc15377208"/>
      <w:bookmarkStart w:id="37" w:name="_Toc15396606"/>
      <w:bookmarkStart w:id="38" w:name="_Toc24933"/>
      <w:r>
        <w:rPr>
          <w:rFonts w:hint="eastAsia"/>
        </w:rPr>
        <w:t>四、财政拨款收入支出决算总体情况说明</w:t>
      </w:r>
      <w:bookmarkEnd w:id="36"/>
      <w:bookmarkEnd w:id="37"/>
      <w:bookmarkEnd w:id="38"/>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22年财政拨款收、支总计1580.37万元。与</w:t>
      </w:r>
      <w:r>
        <w:rPr>
          <w:rFonts w:ascii="仿宋" w:hAnsi="仿宋" w:eastAsia="仿宋"/>
          <w:sz w:val="32"/>
          <w:szCs w:val="32"/>
        </w:rPr>
        <w:t>20</w:t>
      </w:r>
      <w:r>
        <w:rPr>
          <w:rFonts w:hint="eastAsia" w:ascii="仿宋" w:hAnsi="仿宋" w:eastAsia="仿宋"/>
          <w:sz w:val="32"/>
          <w:szCs w:val="32"/>
        </w:rPr>
        <w:t>21年相比，财政拨款收入增加210.27万元，增长36.43%，主要变动原因是2022年年初结转结余资金减少，所以2022年财资拨款收入增加。支出总计减少23.42万元，下降2.87</w:t>
      </w:r>
      <w:r>
        <w:rPr>
          <w:rFonts w:ascii="仿宋" w:hAnsi="仿宋" w:eastAsia="仿宋"/>
          <w:sz w:val="32"/>
          <w:szCs w:val="32"/>
        </w:rPr>
        <w:t>%</w:t>
      </w:r>
      <w:r>
        <w:rPr>
          <w:rFonts w:hint="eastAsia" w:ascii="仿宋" w:hAnsi="仿宋" w:eastAsia="仿宋"/>
          <w:sz w:val="32"/>
          <w:szCs w:val="32"/>
        </w:rPr>
        <w:t>。主要变动原因是2022年未支付军休所建设项目工程款。</w:t>
      </w:r>
    </w:p>
    <w:p>
      <w:pPr>
        <w:pStyle w:val="2"/>
        <w:spacing w:before="93"/>
      </w:pPr>
    </w:p>
    <w:p>
      <w:pPr>
        <w:spacing w:line="600" w:lineRule="exact"/>
        <w:rPr>
          <w:rFonts w:ascii="仿宋" w:hAnsi="仿宋" w:eastAsia="仿宋"/>
          <w:sz w:val="32"/>
          <w:szCs w:val="32"/>
        </w:rPr>
      </w:pPr>
    </w:p>
    <w:p>
      <w:pPr>
        <w:pStyle w:val="2"/>
        <w:spacing w:before="93"/>
      </w:pPr>
      <w:r>
        <w:rPr>
          <w:rFonts w:hint="eastAsia"/>
        </w:rPr>
        <w:drawing>
          <wp:inline distT="0" distB="0" distL="0" distR="0">
            <wp:extent cx="5274310" cy="3088640"/>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a:srcRect/>
                    <a:stretch>
                      <a:fillRect/>
                    </a:stretch>
                  </pic:blipFill>
                  <pic:spPr>
                    <a:xfrm>
                      <a:off x="0" y="0"/>
                      <a:ext cx="5274310" cy="3089024"/>
                    </a:xfrm>
                    <a:prstGeom prst="rect">
                      <a:avLst/>
                    </a:prstGeom>
                    <a:noFill/>
                    <a:ln w="9525">
                      <a:noFill/>
                      <a:miter lim="800000"/>
                      <a:headEnd/>
                      <a:tailEnd/>
                    </a:ln>
                  </pic:spPr>
                </pic:pic>
              </a:graphicData>
            </a:graphic>
          </wp:inline>
        </w:drawing>
      </w:r>
    </w:p>
    <w:p>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pPr>
        <w:pStyle w:val="4"/>
        <w:bidi w:val="0"/>
        <w:ind w:firstLine="643" w:firstLineChars="200"/>
        <w:jc w:val="both"/>
      </w:pPr>
      <w:bookmarkStart w:id="39" w:name="_Toc15377209"/>
      <w:bookmarkStart w:id="40" w:name="_Toc15396607"/>
      <w:bookmarkStart w:id="41" w:name="_Toc21319"/>
      <w:r>
        <w:rPr>
          <w:rFonts w:hint="eastAsia"/>
        </w:rPr>
        <w:t>五、一般公共预算财政拨款支出决算情况说明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spacing w:line="600" w:lineRule="exact"/>
        <w:ind w:firstLine="640"/>
        <w:rPr>
          <w:rFonts w:hint="eastAsia" w:ascii="仿宋" w:hAnsi="仿宋" w:eastAsia="仿宋"/>
          <w:sz w:val="32"/>
          <w:szCs w:val="32"/>
        </w:rPr>
      </w:pPr>
      <w:r>
        <w:rPr>
          <w:rFonts w:hint="eastAsia" w:ascii="仿宋" w:hAnsi="仿宋" w:eastAsia="仿宋"/>
          <w:sz w:val="32"/>
          <w:szCs w:val="32"/>
        </w:rPr>
        <w:drawing>
          <wp:anchor distT="0" distB="0" distL="0" distR="0" simplePos="0" relativeHeight="251660288" behindDoc="0" locked="0" layoutInCell="1" allowOverlap="1">
            <wp:simplePos x="0" y="0"/>
            <wp:positionH relativeFrom="column">
              <wp:posOffset>-209550</wp:posOffset>
            </wp:positionH>
            <wp:positionV relativeFrom="paragraph">
              <wp:posOffset>1612900</wp:posOffset>
            </wp:positionV>
            <wp:extent cx="5274310" cy="3038475"/>
            <wp:effectExtent l="0" t="0" r="2540" b="9525"/>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0"/>
                    <a:srcRect/>
                    <a:stretch>
                      <a:fillRect/>
                    </a:stretch>
                  </pic:blipFill>
                  <pic:spPr>
                    <a:xfrm>
                      <a:off x="0" y="0"/>
                      <a:ext cx="5274310" cy="3038894"/>
                    </a:xfrm>
                    <a:prstGeom prst="rect">
                      <a:avLst/>
                    </a:prstGeom>
                    <a:noFill/>
                    <a:ln w="9525">
                      <a:noFill/>
                      <a:miter lim="800000"/>
                      <a:headEnd/>
                      <a:tailEnd/>
                    </a:ln>
                  </pic:spPr>
                </pic:pic>
              </a:graphicData>
            </a:graphic>
          </wp:anchor>
        </w:drawing>
      </w:r>
      <w:r>
        <w:rPr>
          <w:rFonts w:hint="eastAsia" w:ascii="仿宋" w:hAnsi="仿宋" w:eastAsia="仿宋"/>
          <w:sz w:val="32"/>
          <w:szCs w:val="32"/>
        </w:rPr>
        <w:t>2022年一般公共预算财政拨款支出792.96万元，占本年支出合计的96.37%。与2021年相比，一般公共预算财政拨款支出减少23.42万元，下降2.87%。主要变动原因是2022年未支付军休所建设项目工程款。</w:t>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022年一般公共预算财政拨款支出792.96万元，主要用于以下方面</w:t>
      </w:r>
      <w:r>
        <w:rPr>
          <w:rFonts w:ascii="仿宋" w:hAnsi="仿宋" w:eastAsia="仿宋"/>
          <w:sz w:val="32"/>
          <w:szCs w:val="32"/>
        </w:rPr>
        <w:t>:</w:t>
      </w:r>
      <w:r>
        <w:rPr>
          <w:rFonts w:hint="eastAsia" w:ascii="仿宋" w:hAnsi="仿宋" w:eastAsia="仿宋"/>
          <w:sz w:val="32"/>
          <w:szCs w:val="32"/>
        </w:rPr>
        <w:t>社会保障和就业支出778.42万元，占98.17%；住房保障支出14.54元，占1.83%。</w:t>
      </w:r>
    </w:p>
    <w:p>
      <w:pPr>
        <w:spacing w:line="600" w:lineRule="exact"/>
        <w:ind w:firstLine="640"/>
        <w:rPr>
          <w:rFonts w:ascii="仿宋" w:hAnsi="仿宋" w:eastAsia="仿宋"/>
          <w:sz w:val="32"/>
          <w:szCs w:val="32"/>
        </w:rPr>
      </w:pPr>
    </w:p>
    <w:p>
      <w:pPr>
        <w:pStyle w:val="2"/>
        <w:spacing w:before="93"/>
      </w:pPr>
      <w:r>
        <w:drawing>
          <wp:inline distT="0" distB="0" distL="0" distR="0">
            <wp:extent cx="5274310" cy="3092450"/>
            <wp:effectExtent l="1905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srcRect/>
                    <a:stretch>
                      <a:fillRect/>
                    </a:stretch>
                  </pic:blipFill>
                  <pic:spPr>
                    <a:xfrm>
                      <a:off x="0" y="0"/>
                      <a:ext cx="5274310" cy="3092460"/>
                    </a:xfrm>
                    <a:prstGeom prst="rect">
                      <a:avLst/>
                    </a:prstGeom>
                    <a:noFill/>
                    <a:ln w="9525">
                      <a:noFill/>
                      <a:miter lim="800000"/>
                      <a:headEnd/>
                      <a:tailEnd/>
                    </a:ln>
                  </pic:spPr>
                </pic:pic>
              </a:graphicData>
            </a:graphic>
          </wp:inline>
        </w:drawing>
      </w:r>
    </w:p>
    <w:p>
      <w:pPr>
        <w:spacing w:line="600" w:lineRule="exact"/>
        <w:jc w:val="center"/>
        <w:rPr>
          <w:rFonts w:hint="eastAsia"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0" w:firstLineChars="200"/>
        <w:rPr>
          <w:rStyle w:val="14"/>
          <w:rFonts w:hint="eastAsia" w:ascii="仿宋" w:hAnsi="仿宋" w:eastAsia="仿宋" w:cstheme="minorBidi"/>
          <w:b w:val="0"/>
          <w:bCs/>
          <w:sz w:val="32"/>
          <w:szCs w:val="32"/>
        </w:rPr>
      </w:pPr>
      <w:bookmarkStart w:id="45" w:name="_Toc15378460"/>
      <w:bookmarkStart w:id="46" w:name="_Toc1057"/>
      <w:bookmarkStart w:id="47" w:name="_Toc15377213"/>
      <w:bookmarkStart w:id="48" w:name="_Toc15377444"/>
      <w:r>
        <w:rPr>
          <w:rStyle w:val="14"/>
          <w:rFonts w:hint="eastAsia" w:ascii="仿宋" w:hAnsi="仿宋" w:eastAsia="仿宋" w:cstheme="minorBidi"/>
          <w:b w:val="0"/>
          <w:bCs/>
          <w:sz w:val="32"/>
          <w:szCs w:val="32"/>
        </w:rPr>
        <w:t>2022年一般公共预算支出决算数为792.96，完成预算100%。其中：</w:t>
      </w:r>
      <w:bookmarkEnd w:id="45"/>
      <w:bookmarkEnd w:id="46"/>
      <w:bookmarkEnd w:id="47"/>
      <w:bookmarkEnd w:id="48"/>
    </w:p>
    <w:p>
      <w:pPr>
        <w:spacing w:line="600" w:lineRule="exact"/>
        <w:ind w:firstLine="640" w:firstLineChars="200"/>
        <w:rPr>
          <w:rStyle w:val="14"/>
          <w:rFonts w:hint="eastAsia" w:ascii="仿宋" w:hAnsi="仿宋" w:eastAsia="仿宋" w:cstheme="minorBidi"/>
          <w:b w:val="0"/>
          <w:bCs/>
          <w:sz w:val="32"/>
          <w:szCs w:val="32"/>
        </w:rPr>
      </w:pPr>
      <w:r>
        <w:rPr>
          <w:rStyle w:val="14"/>
          <w:rFonts w:hint="eastAsia" w:ascii="仿宋" w:hAnsi="仿宋" w:eastAsia="仿宋" w:cstheme="minorBidi"/>
          <w:b w:val="0"/>
          <w:bCs/>
          <w:sz w:val="32"/>
          <w:szCs w:val="32"/>
        </w:rPr>
        <w:t>1.社会保障和就业支出（类）人力资源和社会保障管理事务（款）其他人力资源和社会保障管理事务支出（项）: 支出决算为3.8万元，完成预算100%，决算数与预算数持平。</w:t>
      </w:r>
    </w:p>
    <w:p>
      <w:pPr>
        <w:spacing w:line="600" w:lineRule="exact"/>
        <w:ind w:firstLine="640" w:firstLineChars="200"/>
        <w:rPr>
          <w:rFonts w:hint="eastAsia" w:ascii="仿宋" w:hAnsi="仿宋" w:eastAsia="仿宋"/>
          <w:sz w:val="32"/>
          <w:szCs w:val="32"/>
        </w:rPr>
      </w:pPr>
      <w:r>
        <w:rPr>
          <w:rStyle w:val="14"/>
          <w:rFonts w:hint="eastAsia" w:ascii="仿宋" w:hAnsi="仿宋" w:eastAsia="仿宋" w:cstheme="minorBidi"/>
          <w:b w:val="0"/>
          <w:bCs/>
          <w:sz w:val="32"/>
          <w:szCs w:val="32"/>
        </w:rPr>
        <w:t>2.社会保障和就业支出（类）行政事业单位养老支出（款）事业单位离退休（项）: 支出决算为55.60万元，</w:t>
      </w:r>
      <w:r>
        <w:rPr>
          <w:rFonts w:hint="eastAsia" w:ascii="仿宋" w:hAnsi="仿宋" w:eastAsia="仿宋"/>
          <w:sz w:val="32"/>
          <w:szCs w:val="32"/>
        </w:rPr>
        <w:t>完成预算100%，决算数与预算数持平。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3.社会保障和就业支出（类）行政事业单位养老支出（款）机关事业单位基本养老保险缴费支出（项）: 支出决算为12.94万元，完成预算100%，决算数与预算数持平。</w:t>
      </w:r>
    </w:p>
    <w:p>
      <w:pPr>
        <w:spacing w:line="600" w:lineRule="exact"/>
        <w:ind w:firstLine="640" w:firstLineChars="200"/>
        <w:rPr>
          <w:rStyle w:val="14"/>
          <w:rFonts w:hint="eastAsia" w:ascii="仿宋" w:hAnsi="仿宋" w:eastAsia="仿宋" w:cstheme="minorBidi"/>
          <w:b w:val="0"/>
          <w:bCs/>
          <w:sz w:val="32"/>
          <w:szCs w:val="32"/>
        </w:rPr>
      </w:pPr>
      <w:r>
        <w:rPr>
          <w:rStyle w:val="14"/>
          <w:rFonts w:hint="eastAsia" w:ascii="仿宋" w:hAnsi="仿宋" w:eastAsia="仿宋" w:cstheme="minorBidi"/>
          <w:b w:val="0"/>
          <w:bCs/>
          <w:sz w:val="32"/>
          <w:szCs w:val="32"/>
        </w:rPr>
        <w:t>4.社会保障和就业支出（类）抚恤（款）死亡抚恤（项）: 支出决算为13.19万元，完成预算100%，决算数与预算数持平。</w:t>
      </w:r>
    </w:p>
    <w:p>
      <w:pPr>
        <w:spacing w:line="600" w:lineRule="exact"/>
        <w:ind w:firstLine="640" w:firstLineChars="200"/>
        <w:rPr>
          <w:rStyle w:val="14"/>
          <w:rFonts w:hint="eastAsia" w:ascii="仿宋" w:hAnsi="仿宋" w:eastAsia="仿宋" w:cstheme="minorBidi"/>
          <w:b w:val="0"/>
          <w:bCs/>
          <w:sz w:val="32"/>
          <w:szCs w:val="32"/>
        </w:rPr>
      </w:pPr>
      <w:r>
        <w:rPr>
          <w:rStyle w:val="14"/>
          <w:rFonts w:hint="eastAsia" w:ascii="仿宋" w:hAnsi="仿宋" w:eastAsia="仿宋" w:cstheme="minorBidi"/>
          <w:b w:val="0"/>
          <w:bCs/>
          <w:sz w:val="32"/>
          <w:szCs w:val="32"/>
        </w:rPr>
        <w:t>5.社会保障和就业支出（类）退役安置（款）军队移交政府的离退休人员安置（项）: 支出决算为489.06万元，完成预算100%，决算数与预算数持平。</w:t>
      </w:r>
    </w:p>
    <w:p>
      <w:pPr>
        <w:spacing w:line="600" w:lineRule="exact"/>
        <w:ind w:firstLine="640" w:firstLineChars="200"/>
        <w:rPr>
          <w:rStyle w:val="14"/>
          <w:rFonts w:hint="eastAsia" w:ascii="仿宋" w:hAnsi="仿宋" w:eastAsia="仿宋" w:cstheme="minorBidi"/>
          <w:b w:val="0"/>
          <w:bCs/>
          <w:sz w:val="32"/>
          <w:szCs w:val="32"/>
        </w:rPr>
      </w:pPr>
      <w:r>
        <w:rPr>
          <w:rStyle w:val="14"/>
          <w:rFonts w:hint="eastAsia" w:ascii="仿宋" w:hAnsi="仿宋" w:eastAsia="仿宋" w:cstheme="minorBidi"/>
          <w:b w:val="0"/>
          <w:bCs/>
          <w:sz w:val="32"/>
          <w:szCs w:val="32"/>
        </w:rPr>
        <w:t>6.社会保障和就业支出（类）退役安置（款）军队移交政府离退休干部管理机构（项）:支出决算为203.83万元，完成预算100%，决算数与预算数持平。</w:t>
      </w:r>
    </w:p>
    <w:p>
      <w:pPr>
        <w:spacing w:line="600" w:lineRule="exact"/>
        <w:ind w:firstLine="640" w:firstLineChars="200"/>
        <w:rPr>
          <w:rStyle w:val="14"/>
          <w:rFonts w:hint="eastAsia" w:ascii="仿宋" w:hAnsi="仿宋" w:eastAsia="仿宋" w:cstheme="minorBidi"/>
          <w:b w:val="0"/>
          <w:bCs/>
          <w:sz w:val="32"/>
          <w:szCs w:val="32"/>
        </w:rPr>
      </w:pPr>
      <w:r>
        <w:rPr>
          <w:rStyle w:val="14"/>
          <w:rFonts w:hint="eastAsia" w:ascii="仿宋" w:hAnsi="仿宋" w:eastAsia="仿宋" w:cstheme="minorBidi"/>
          <w:b w:val="0"/>
          <w:bCs/>
          <w:sz w:val="32"/>
          <w:szCs w:val="32"/>
        </w:rPr>
        <w:t>7.住房保障支出（类）住房改革支出（款）住房公积金（项）: 支出决算为14.54万元，完成预算100%，决算数等与预算数持平。</w:t>
      </w:r>
    </w:p>
    <w:p>
      <w:pPr>
        <w:pStyle w:val="4"/>
        <w:bidi w:val="0"/>
        <w:ind w:firstLine="643" w:firstLineChars="200"/>
      </w:pPr>
      <w:bookmarkStart w:id="49" w:name="_Toc29443"/>
      <w:bookmarkStart w:id="50" w:name="_Toc15377214"/>
      <w:bookmarkStart w:id="51" w:name="_Toc15396608"/>
      <w:r>
        <w:rPr>
          <w:rFonts w:hint="eastAsia"/>
        </w:rPr>
        <w:t>六、一般公共预算财政拨款基本支出决算情况说明</w:t>
      </w:r>
      <w:bookmarkEnd w:id="49"/>
      <w:bookmarkEnd w:id="50"/>
      <w:bookmarkEnd w:id="51"/>
      <w:r>
        <w:tab/>
      </w:r>
    </w:p>
    <w:p>
      <w:pPr>
        <w:spacing w:line="600" w:lineRule="exact"/>
        <w:ind w:firstLine="640"/>
        <w:rPr>
          <w:rFonts w:hint="eastAsia" w:ascii="仿宋" w:hAnsi="仿宋" w:eastAsia="仿宋"/>
          <w:sz w:val="32"/>
          <w:szCs w:val="32"/>
        </w:rPr>
      </w:pPr>
      <w:r>
        <w:rPr>
          <w:rFonts w:hint="eastAsia" w:ascii="仿宋" w:hAnsi="仿宋" w:eastAsia="仿宋"/>
          <w:sz w:val="32"/>
          <w:szCs w:val="32"/>
        </w:rPr>
        <w:t>2022年一般公共预算财政拨款基本支出239.61万元，其中：</w:t>
      </w:r>
    </w:p>
    <w:p>
      <w:pPr>
        <w:spacing w:line="600" w:lineRule="exact"/>
        <w:ind w:firstLine="640"/>
        <w:rPr>
          <w:rFonts w:hint="eastAsia" w:ascii="仿宋" w:hAnsi="仿宋" w:eastAsia="仿宋"/>
          <w:sz w:val="32"/>
          <w:szCs w:val="32"/>
        </w:rPr>
      </w:pPr>
      <w:r>
        <w:rPr>
          <w:rFonts w:hint="eastAsia" w:ascii="仿宋" w:hAnsi="仿宋" w:eastAsia="仿宋"/>
          <w:sz w:val="32"/>
          <w:szCs w:val="32"/>
        </w:rPr>
        <w:t>人员经费234.47万元，主要包括：基本工资、津贴补贴、奖金、绩效工资、机关事业单位基本养老保险缴费、其他社会保障缴费、其他工资福利支出、退休费、抚恤金、生活补助、医疗费补助、住房公积金等。</w:t>
      </w:r>
      <w:r>
        <w:rPr>
          <w:rFonts w:hint="eastAsia" w:ascii="仿宋" w:hAnsi="仿宋" w:eastAsia="仿宋"/>
          <w:sz w:val="32"/>
          <w:szCs w:val="32"/>
        </w:rPr>
        <w:br w:type="textWrapping"/>
      </w:r>
      <w:r>
        <w:rPr>
          <w:rFonts w:hint="eastAsia" w:ascii="仿宋" w:hAnsi="仿宋" w:eastAsia="仿宋"/>
          <w:sz w:val="32"/>
          <w:szCs w:val="32"/>
        </w:rPr>
        <w:t>　　公用经费5.14万元，主要包括：办公费、水费、电费、邮电费、物业管理费、差旅费、维修（护）费、培训费、工会经费、福利费、公务用车运行维护费、其他商品和服务支出等。</w:t>
      </w:r>
    </w:p>
    <w:p>
      <w:pPr>
        <w:pStyle w:val="4"/>
        <w:bidi w:val="0"/>
        <w:ind w:firstLine="643" w:firstLineChars="200"/>
      </w:pPr>
      <w:bookmarkStart w:id="52" w:name="_Toc15377215"/>
      <w:bookmarkStart w:id="53" w:name="_Toc15396609"/>
      <w:bookmarkStart w:id="54" w:name="_Toc9025"/>
      <w:r>
        <w:rPr>
          <w:rFonts w:hint="eastAsia"/>
        </w:rPr>
        <w:t>七、财政拨款“三公”经费支出决算情况说明</w:t>
      </w:r>
      <w:bookmarkEnd w:id="52"/>
      <w:bookmarkEnd w:id="53"/>
      <w:bookmarkEnd w:id="54"/>
    </w:p>
    <w:p>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0"/>
        <w:rPr>
          <w:rFonts w:hint="eastAsia" w:ascii="仿宋" w:hAnsi="仿宋" w:eastAsia="仿宋"/>
          <w:sz w:val="32"/>
          <w:szCs w:val="32"/>
        </w:rPr>
      </w:pPr>
      <w:r>
        <w:rPr>
          <w:rFonts w:hint="eastAsia" w:ascii="仿宋" w:hAnsi="仿宋" w:eastAsia="仿宋"/>
          <w:sz w:val="32"/>
          <w:szCs w:val="32"/>
        </w:rPr>
        <w:t>2022年“三公”经费财政拨款支出决算为0.94万元，完成预算100%，决算数与预算数持平。</w:t>
      </w:r>
    </w:p>
    <w:p>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0"/>
        <w:rPr>
          <w:rFonts w:ascii="仿宋" w:hAnsi="仿宋" w:eastAsia="仿宋"/>
          <w:sz w:val="32"/>
          <w:szCs w:val="32"/>
        </w:rPr>
      </w:pPr>
      <w:r>
        <w:rPr>
          <w:rFonts w:hint="eastAsia" w:ascii="仿宋" w:hAnsi="仿宋" w:eastAsia="仿宋"/>
          <w:sz w:val="32"/>
          <w:szCs w:val="32"/>
        </w:rPr>
        <w:t>2022年“三公”经费财政拨款支出决算中，因公出国（境）费支出决算0万元，占0%；公务用车购置及运行维护费支出决算0.94万元，占100%；公务接待费支出决算0万元，占0%。具体情况如下：</w:t>
      </w:r>
    </w:p>
    <w:p>
      <w:pPr>
        <w:pStyle w:val="2"/>
        <w:spacing w:before="93"/>
      </w:pPr>
      <w:r>
        <w:drawing>
          <wp:anchor distT="0" distB="0" distL="0" distR="0" simplePos="0" relativeHeight="251661312" behindDoc="0" locked="0" layoutInCell="1" allowOverlap="1">
            <wp:simplePos x="0" y="0"/>
            <wp:positionH relativeFrom="column">
              <wp:posOffset>-238125</wp:posOffset>
            </wp:positionH>
            <wp:positionV relativeFrom="page">
              <wp:posOffset>7118985</wp:posOffset>
            </wp:positionV>
            <wp:extent cx="5274310" cy="3088640"/>
            <wp:effectExtent l="0" t="0" r="2540" b="16510"/>
            <wp:wrapSquare wrapText="bothSides"/>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
                    <a:srcRect/>
                    <a:stretch>
                      <a:fillRect/>
                    </a:stretch>
                  </pic:blipFill>
                  <pic:spPr>
                    <a:xfrm>
                      <a:off x="0" y="0"/>
                      <a:ext cx="5274310" cy="3089024"/>
                    </a:xfrm>
                    <a:prstGeom prst="rect">
                      <a:avLst/>
                    </a:prstGeom>
                    <a:noFill/>
                    <a:ln w="9525">
                      <a:noFill/>
                      <a:miter lim="800000"/>
                      <a:headEnd/>
                      <a:tailEnd/>
                    </a:ln>
                  </pic:spPr>
                </pic:pic>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jc w:val="center"/>
        <w:rPr>
          <w:rFonts w:hint="eastAsia"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hint="eastAsia" w:ascii="仿宋" w:hAnsi="仿宋" w:eastAsia="仿宋"/>
          <w:sz w:val="32"/>
          <w:szCs w:val="32"/>
        </w:rPr>
      </w:pPr>
      <w:r>
        <w:rPr>
          <w:rStyle w:val="14"/>
          <w:rFonts w:hint="eastAsia" w:ascii="仿宋" w:hAnsi="仿宋" w:eastAsia="仿宋" w:cstheme="minorBidi"/>
          <w:b w:val="0"/>
          <w:bCs/>
          <w:sz w:val="32"/>
          <w:szCs w:val="32"/>
        </w:rPr>
        <w:t>1.因公出国（境）经费支出0万元，完成预算</w:t>
      </w:r>
      <w:r>
        <w:rPr>
          <w:rStyle w:val="14"/>
          <w:rFonts w:hint="eastAsia" w:ascii="仿宋" w:hAnsi="仿宋" w:eastAsia="仿宋"/>
          <w:b w:val="0"/>
          <w:bCs/>
          <w:sz w:val="32"/>
          <w:szCs w:val="32"/>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w:t>
      </w:r>
      <w:r>
        <w:rPr>
          <w:rFonts w:hint="eastAsia" w:ascii="仿宋" w:hAnsi="仿宋" w:eastAsia="仿宋"/>
          <w:sz w:val="32"/>
          <w:szCs w:val="32"/>
        </w:rPr>
        <w:t>年安排因公出国（境）团组0次，出国（境）0人。因公出国（境）支出决算与2021年支出决算持平。</w:t>
      </w:r>
    </w:p>
    <w:p>
      <w:pPr>
        <w:spacing w:line="600" w:lineRule="exact"/>
        <w:ind w:firstLine="640"/>
        <w:rPr>
          <w:rFonts w:hint="eastAsia" w:ascii="仿宋" w:hAnsi="仿宋" w:eastAsia="仿宋"/>
          <w:sz w:val="32"/>
          <w:szCs w:val="32"/>
        </w:rPr>
      </w:pPr>
      <w:r>
        <w:rPr>
          <w:rStyle w:val="14"/>
          <w:rFonts w:hint="eastAsia" w:ascii="仿宋" w:hAnsi="仿宋" w:eastAsia="仿宋" w:cstheme="minorBidi"/>
          <w:b w:val="0"/>
          <w:bCs/>
          <w:sz w:val="32"/>
          <w:szCs w:val="32"/>
        </w:rPr>
        <w:t>2.公务用车购置及运行维护费支出0.94万元,完成预算</w:t>
      </w:r>
      <w:r>
        <w:rPr>
          <w:rFonts w:hint="eastAsia" w:ascii="仿宋" w:hAnsi="仿宋" w:eastAsia="仿宋"/>
          <w:sz w:val="32"/>
          <w:szCs w:val="32"/>
        </w:rPr>
        <w:t>100%。公务用车购置及运行维护费支出决算比2021年减少0.15万元，下降13.76%。主要原因是根据政府过紧日子要求进行公务用车运行维护费压减。</w:t>
      </w:r>
    </w:p>
    <w:p>
      <w:pPr>
        <w:spacing w:line="600" w:lineRule="exact"/>
        <w:ind w:firstLine="640" w:firstLineChars="200"/>
        <w:rPr>
          <w:rFonts w:hint="eastAsia" w:ascii="仿宋" w:hAnsi="仿宋" w:eastAsia="仿宋"/>
          <w:sz w:val="32"/>
          <w:szCs w:val="32"/>
        </w:rPr>
      </w:pPr>
      <w:r>
        <w:rPr>
          <w:rStyle w:val="14"/>
          <w:rFonts w:hint="eastAsia" w:ascii="仿宋" w:hAnsi="仿宋" w:eastAsia="仿宋" w:cstheme="minorBidi"/>
          <w:b w:val="0"/>
          <w:bCs/>
          <w:sz w:val="32"/>
          <w:szCs w:val="32"/>
        </w:rPr>
        <w:t>其中：公务用车购置支出0万元。全年按规定更新购置</w:t>
      </w:r>
      <w:r>
        <w:rPr>
          <w:rFonts w:hint="eastAsia" w:ascii="仿宋" w:hAnsi="仿宋" w:eastAsia="仿宋"/>
          <w:sz w:val="32"/>
          <w:szCs w:val="32"/>
        </w:rPr>
        <w:t>公务用车0辆，其中：轿车0辆、金额0万元，越野车0辆、金额0万元，载客汽车0辆、金额0万元。截至2022年12月底，单位共有公务用车1辆，其中：轿车1辆、越野车0辆、载客汽车0辆。</w:t>
      </w:r>
    </w:p>
    <w:p>
      <w:pPr>
        <w:spacing w:line="600" w:lineRule="exact"/>
        <w:ind w:firstLine="640"/>
        <w:rPr>
          <w:rFonts w:hint="eastAsia" w:ascii="仿宋" w:hAnsi="仿宋" w:eastAsia="仿宋"/>
          <w:sz w:val="32"/>
          <w:szCs w:val="32"/>
        </w:rPr>
      </w:pPr>
      <w:r>
        <w:rPr>
          <w:rStyle w:val="14"/>
          <w:rFonts w:hint="eastAsia" w:ascii="仿宋" w:hAnsi="仿宋" w:eastAsia="仿宋" w:cstheme="minorBidi"/>
          <w:b w:val="0"/>
          <w:bCs/>
          <w:sz w:val="32"/>
          <w:szCs w:val="32"/>
        </w:rPr>
        <w:t>公务用车运行维护费支出0.94万元。主要用于保障单位正常运转及完成特定工作任务等所需的公务用车燃料费、</w:t>
      </w:r>
      <w:r>
        <w:rPr>
          <w:rFonts w:hint="eastAsia" w:ascii="仿宋" w:hAnsi="仿宋" w:eastAsia="仿宋"/>
          <w:sz w:val="32"/>
          <w:szCs w:val="32"/>
        </w:rPr>
        <w:t>维修费、过路过桥费、保险费等支出。</w:t>
      </w:r>
    </w:p>
    <w:p>
      <w:pPr>
        <w:spacing w:line="600" w:lineRule="exact"/>
        <w:ind w:firstLine="640"/>
        <w:rPr>
          <w:rFonts w:hint="eastAsia" w:ascii="仿宋" w:hAnsi="仿宋" w:eastAsia="仿宋"/>
          <w:sz w:val="32"/>
          <w:szCs w:val="32"/>
        </w:rPr>
      </w:pPr>
      <w:r>
        <w:rPr>
          <w:rStyle w:val="14"/>
          <w:rFonts w:hint="eastAsia" w:ascii="仿宋" w:hAnsi="仿宋" w:eastAsia="仿宋" w:cstheme="minorBidi"/>
          <w:b w:val="0"/>
          <w:bCs/>
          <w:sz w:val="32"/>
          <w:szCs w:val="32"/>
        </w:rPr>
        <w:t>3.公务接待费支出0万元，完成预算100%。公务接</w:t>
      </w:r>
      <w:r>
        <w:rPr>
          <w:rFonts w:hint="eastAsia" w:ascii="仿宋" w:hAnsi="仿宋" w:eastAsia="仿宋"/>
          <w:sz w:val="32"/>
          <w:szCs w:val="32"/>
        </w:rPr>
        <w:t>待费支出决算与2021年支出决算持平。其中：</w:t>
      </w:r>
    </w:p>
    <w:p>
      <w:pPr>
        <w:spacing w:line="600" w:lineRule="exact"/>
        <w:ind w:firstLine="640"/>
        <w:rPr>
          <w:rFonts w:ascii="仿宋_GB2312" w:eastAsia="仿宋_GB2312"/>
          <w:sz w:val="32"/>
          <w:szCs w:val="32"/>
        </w:rPr>
      </w:pPr>
      <w:r>
        <w:rPr>
          <w:rStyle w:val="14"/>
          <w:rFonts w:hint="eastAsia" w:ascii="仿宋" w:hAnsi="仿宋" w:eastAsia="仿宋" w:cstheme="minorBidi"/>
          <w:b w:val="0"/>
          <w:bCs/>
          <w:sz w:val="32"/>
          <w:szCs w:val="32"/>
        </w:rPr>
        <w:t>国内公务接待支出0万元。国内公务接待</w:t>
      </w:r>
      <w:r>
        <w:rPr>
          <w:rFonts w:hint="eastAsia" w:ascii="仿宋" w:hAnsi="仿宋" w:eastAsia="仿宋"/>
          <w:sz w:val="32"/>
          <w:szCs w:val="32"/>
        </w:rPr>
        <w:t>0批次，0人次（不包括陪同人员），共计支出0万元。</w:t>
      </w:r>
    </w:p>
    <w:p>
      <w:pPr>
        <w:spacing w:line="600" w:lineRule="exact"/>
        <w:ind w:firstLine="640" w:firstLineChars="200"/>
        <w:rPr>
          <w:rFonts w:hint="eastAsia" w:ascii="仿宋" w:hAnsi="仿宋" w:eastAsia="仿宋"/>
          <w:sz w:val="32"/>
          <w:szCs w:val="32"/>
        </w:rPr>
      </w:pPr>
      <w:r>
        <w:rPr>
          <w:rStyle w:val="14"/>
          <w:rFonts w:hint="eastAsia" w:ascii="仿宋" w:hAnsi="仿宋" w:eastAsia="仿宋" w:cstheme="minorBidi"/>
          <w:b w:val="0"/>
          <w:bCs/>
          <w:sz w:val="32"/>
          <w:szCs w:val="32"/>
        </w:rPr>
        <w:t>外事接待支出0万元。外事接待0批次，0人次（不包</w:t>
      </w:r>
      <w:r>
        <w:rPr>
          <w:rFonts w:hint="eastAsia" w:ascii="仿宋" w:hAnsi="仿宋" w:eastAsia="仿宋"/>
          <w:sz w:val="32"/>
          <w:szCs w:val="32"/>
        </w:rPr>
        <w:t>括陪同人员），共计支出0万元。</w:t>
      </w:r>
      <w:bookmarkStart w:id="57" w:name="_Toc15396610"/>
      <w:bookmarkStart w:id="58" w:name="_Toc15377218"/>
    </w:p>
    <w:p>
      <w:pPr>
        <w:pStyle w:val="4"/>
        <w:bidi w:val="0"/>
        <w:ind w:firstLine="643" w:firstLineChars="200"/>
      </w:pPr>
      <w:bookmarkStart w:id="59" w:name="_Toc22600"/>
      <w:r>
        <w:rPr>
          <w:rFonts w:hint="eastAsia"/>
        </w:rPr>
        <w:t>八、政府性基金预算支出决算情况说明</w:t>
      </w:r>
      <w:bookmarkEnd w:id="57"/>
      <w:bookmarkEnd w:id="58"/>
      <w:bookmarkEnd w:id="59"/>
    </w:p>
    <w:p>
      <w:pPr>
        <w:spacing w:line="600" w:lineRule="exact"/>
        <w:ind w:firstLine="640"/>
        <w:rPr>
          <w:rFonts w:hint="eastAsia" w:ascii="仿宋" w:hAnsi="仿宋" w:eastAsia="仿宋"/>
          <w:sz w:val="32"/>
          <w:szCs w:val="32"/>
        </w:rPr>
      </w:pPr>
      <w:r>
        <w:rPr>
          <w:rFonts w:hint="eastAsia" w:ascii="仿宋" w:hAnsi="仿宋" w:eastAsia="仿宋"/>
          <w:sz w:val="32"/>
          <w:szCs w:val="32"/>
        </w:rPr>
        <w:t>2022年政府性基金预算财政拨款支出0万元。</w:t>
      </w:r>
    </w:p>
    <w:p>
      <w:pPr>
        <w:pStyle w:val="4"/>
        <w:numPr>
          <w:ilvl w:val="0"/>
          <w:numId w:val="0"/>
        </w:numPr>
        <w:bidi w:val="0"/>
        <w:ind w:firstLine="643" w:firstLineChars="200"/>
      </w:pPr>
      <w:bookmarkStart w:id="60" w:name="_Toc15377219"/>
      <w:bookmarkStart w:id="61" w:name="_Toc15396611"/>
      <w:bookmarkStart w:id="62" w:name="_Toc29340"/>
      <w:r>
        <w:rPr>
          <w:rFonts w:hint="eastAsia"/>
          <w:lang w:eastAsia="zh-CN"/>
        </w:rPr>
        <w:t>九、</w:t>
      </w:r>
      <w:r>
        <w:rPr>
          <w:rFonts w:hint="eastAsia"/>
        </w:rPr>
        <w:t>国有资本经营预算支出决算情况说明</w:t>
      </w:r>
      <w:bookmarkEnd w:id="60"/>
      <w:bookmarkEnd w:id="61"/>
      <w:bookmarkEnd w:id="62"/>
    </w:p>
    <w:p>
      <w:pPr>
        <w:spacing w:line="600" w:lineRule="exact"/>
        <w:ind w:firstLine="640"/>
        <w:rPr>
          <w:rFonts w:hint="eastAsia" w:ascii="仿宋" w:hAnsi="仿宋" w:eastAsia="仿宋"/>
          <w:sz w:val="32"/>
          <w:szCs w:val="32"/>
        </w:rPr>
      </w:pPr>
      <w:r>
        <w:rPr>
          <w:rFonts w:hint="eastAsia" w:ascii="仿宋" w:hAnsi="仿宋" w:eastAsia="仿宋"/>
          <w:sz w:val="32"/>
          <w:szCs w:val="32"/>
        </w:rPr>
        <w:t>2022年国有资本经营预算财政拨款支出0万元。</w:t>
      </w:r>
    </w:p>
    <w:p>
      <w:pPr>
        <w:pStyle w:val="4"/>
        <w:bidi w:val="0"/>
        <w:ind w:firstLine="643" w:firstLineChars="200"/>
      </w:pPr>
      <w:bookmarkStart w:id="63" w:name="_Toc5978"/>
      <w:bookmarkStart w:id="64" w:name="_Toc15377221"/>
      <w:bookmarkStart w:id="65" w:name="_Toc15396612"/>
      <w:r>
        <w:rPr>
          <w:rFonts w:hint="eastAsia"/>
          <w:lang w:eastAsia="zh-CN"/>
        </w:rPr>
        <w:t>十、</w:t>
      </w:r>
      <w:r>
        <w:rPr>
          <w:rFonts w:hint="eastAsia"/>
        </w:rPr>
        <w:t>其他重要事项的情况说明</w:t>
      </w:r>
      <w:bookmarkEnd w:id="63"/>
      <w:bookmarkEnd w:id="64"/>
      <w:bookmarkEnd w:id="65"/>
    </w:p>
    <w:p>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pPr>
        <w:spacing w:line="600" w:lineRule="exact"/>
        <w:ind w:firstLine="640"/>
        <w:rPr>
          <w:rFonts w:hint="eastAsia" w:ascii="仿宋" w:hAnsi="仿宋" w:eastAsia="仿宋"/>
          <w:sz w:val="32"/>
          <w:szCs w:val="32"/>
        </w:rPr>
      </w:pPr>
      <w:r>
        <w:rPr>
          <w:rFonts w:hint="eastAsia" w:ascii="仿宋" w:hAnsi="仿宋" w:eastAsia="仿宋"/>
          <w:sz w:val="32"/>
          <w:szCs w:val="32"/>
        </w:rPr>
        <w:t>2022年，攀枝花市军队离退休干部休养所机关运行经费支出0万元，与2021年决算数持平。主要原因是攀枝花市军队离退休干部休养所是攀枝花市退役军人事务局下属事业单位，无机关运行经费支出。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pPr>
        <w:spacing w:line="600" w:lineRule="exact"/>
        <w:ind w:firstLine="640"/>
        <w:rPr>
          <w:rFonts w:hint="eastAsia" w:ascii="仿宋" w:hAnsi="仿宋" w:eastAsia="仿宋"/>
          <w:sz w:val="32"/>
          <w:szCs w:val="32"/>
        </w:rPr>
      </w:pPr>
      <w:r>
        <w:rPr>
          <w:rFonts w:hint="eastAsia" w:ascii="仿宋" w:hAnsi="仿宋" w:eastAsia="仿宋"/>
          <w:sz w:val="32"/>
          <w:szCs w:val="32"/>
        </w:rPr>
        <w:t>2022年，攀枝花市军队离退休干部休养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pPr>
        <w:spacing w:line="600" w:lineRule="exact"/>
        <w:ind w:firstLine="640"/>
        <w:rPr>
          <w:rFonts w:hint="eastAsia" w:ascii="仿宋" w:hAnsi="仿宋" w:eastAsia="仿宋"/>
          <w:sz w:val="32"/>
          <w:szCs w:val="32"/>
        </w:rPr>
      </w:pPr>
      <w:r>
        <w:rPr>
          <w:rFonts w:hint="eastAsia" w:ascii="仿宋" w:hAnsi="仿宋" w:eastAsia="仿宋"/>
          <w:sz w:val="32"/>
          <w:szCs w:val="32"/>
        </w:rPr>
        <w:t>截至2022年12月31日，攀枝花市军队离退休干部休养所共有车辆1辆，其中：主要领导干部用车0辆、机要通信用车0辆、应急保障用车0辆、其他用车1辆，其他用车主要是军队离退休干部用车。单价100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rPr>
          <w:rFonts w:hint="eastAsia" w:ascii="仿宋" w:hAnsi="仿宋" w:eastAsia="仿宋"/>
          <w:sz w:val="32"/>
          <w:szCs w:val="32"/>
        </w:rPr>
      </w:pPr>
      <w:r>
        <w:rPr>
          <w:rFonts w:hint="eastAsia" w:ascii="仿宋" w:hAnsi="仿宋" w:eastAsia="仿宋"/>
          <w:sz w:val="32"/>
          <w:szCs w:val="32"/>
        </w:rPr>
        <w:t>根据预算绩效管理要求，本单位在2022年度预算编制阶段，组织对</w:t>
      </w:r>
      <w:r>
        <w:rPr>
          <w:rFonts w:hint="eastAsia" w:ascii="仿宋" w:hAnsi="仿宋" w:eastAsia="仿宋"/>
          <w:sz w:val="32"/>
          <w:szCs w:val="32"/>
          <w:lang w:val="en-US" w:eastAsia="zh-CN"/>
        </w:rPr>
        <w:t>人才专项经费</w:t>
      </w:r>
      <w:r>
        <w:rPr>
          <w:rFonts w:hint="eastAsia" w:ascii="仿宋" w:hAnsi="仿宋" w:eastAsia="仿宋"/>
          <w:sz w:val="32"/>
          <w:szCs w:val="32"/>
        </w:rPr>
        <w:t>项目开展了预算事前绩效评估，对</w:t>
      </w:r>
      <w:r>
        <w:rPr>
          <w:rFonts w:hint="eastAsia" w:ascii="仿宋" w:hAnsi="仿宋" w:eastAsia="仿宋"/>
          <w:sz w:val="32"/>
          <w:szCs w:val="32"/>
          <w:lang w:val="en-US" w:eastAsia="zh-CN"/>
        </w:rPr>
        <w:t>1</w:t>
      </w:r>
      <w:r>
        <w:rPr>
          <w:rFonts w:hint="eastAsia" w:ascii="仿宋" w:hAnsi="仿宋" w:eastAsia="仿宋"/>
          <w:sz w:val="32"/>
          <w:szCs w:val="32"/>
        </w:rPr>
        <w:t>个项目编制了绩效目标，预算执行过程中，选取</w:t>
      </w:r>
      <w:r>
        <w:rPr>
          <w:rFonts w:hint="eastAsia" w:ascii="仿宋" w:hAnsi="仿宋" w:eastAsia="仿宋"/>
          <w:sz w:val="32"/>
          <w:szCs w:val="32"/>
          <w:lang w:val="en-US" w:eastAsia="zh-CN"/>
        </w:rPr>
        <w:t>1</w:t>
      </w:r>
      <w:r>
        <w:rPr>
          <w:rFonts w:hint="eastAsia" w:ascii="仿宋" w:hAnsi="仿宋" w:eastAsia="仿宋"/>
          <w:sz w:val="32"/>
          <w:szCs w:val="32"/>
        </w:rPr>
        <w:t>个项目开展绩效监控，组织对</w:t>
      </w:r>
      <w:r>
        <w:rPr>
          <w:rFonts w:hint="eastAsia" w:ascii="仿宋" w:hAnsi="仿宋" w:eastAsia="仿宋"/>
          <w:sz w:val="32"/>
          <w:szCs w:val="32"/>
          <w:lang w:val="en-US" w:eastAsia="zh-CN"/>
        </w:rPr>
        <w:t>1</w:t>
      </w:r>
      <w:r>
        <w:rPr>
          <w:rFonts w:hint="eastAsia" w:ascii="仿宋" w:hAnsi="仿宋" w:eastAsia="仿宋"/>
          <w:sz w:val="32"/>
          <w:szCs w:val="32"/>
        </w:rPr>
        <w:t>个项目开展绩效自评，绩效自评表详见第四部分附件。</w:t>
      </w:r>
      <w:r>
        <w:rPr>
          <w:rFonts w:hint="eastAsia" w:ascii="仿宋" w:hAnsi="仿宋" w:eastAsia="仿宋"/>
          <w:sz w:val="32"/>
          <w:szCs w:val="32"/>
        </w:rPr>
        <w:br w:type="page"/>
      </w:r>
    </w:p>
    <w:p>
      <w:pPr>
        <w:pStyle w:val="3"/>
        <w:numPr>
          <w:ilvl w:val="0"/>
          <w:numId w:val="3"/>
        </w:numPr>
        <w:bidi w:val="0"/>
        <w:jc w:val="center"/>
      </w:pPr>
      <w:bookmarkStart w:id="69" w:name="_Toc11810"/>
      <w:bookmarkStart w:id="70" w:name="_Toc15377225"/>
      <w:bookmarkStart w:id="71" w:name="_Toc15396613"/>
      <w:r>
        <w:rPr>
          <w:rFonts w:hint="eastAsia"/>
        </w:rPr>
        <w:t>名词解释</w:t>
      </w:r>
      <w:bookmarkEnd w:id="69"/>
      <w:bookmarkEnd w:id="70"/>
      <w:bookmarkEnd w:id="71"/>
    </w:p>
    <w:p>
      <w:pPr>
        <w:spacing w:line="600" w:lineRule="exact"/>
        <w:jc w:val="left"/>
        <w:rPr>
          <w:rFonts w:ascii="宋体"/>
          <w:b/>
          <w:sz w:val="44"/>
          <w:szCs w:val="44"/>
        </w:rPr>
      </w:pPr>
    </w:p>
    <w:p>
      <w:pPr>
        <w:spacing w:line="600" w:lineRule="exact"/>
        <w:ind w:firstLine="640"/>
        <w:rPr>
          <w:rFonts w:hint="eastAsia" w:ascii="仿宋" w:hAnsi="仿宋" w:eastAsia="仿宋"/>
          <w:sz w:val="32"/>
          <w:szCs w:val="32"/>
        </w:rPr>
      </w:pPr>
      <w:r>
        <w:rPr>
          <w:rFonts w:hint="eastAsia" w:ascii="仿宋" w:hAnsi="仿宋" w:eastAsia="仿宋"/>
          <w:sz w:val="32"/>
          <w:szCs w:val="32"/>
        </w:rPr>
        <w:t>1.财政拨款收入：指单位从同级财政部门取得的财政预算资金。</w:t>
      </w:r>
    </w:p>
    <w:p>
      <w:pPr>
        <w:spacing w:line="600" w:lineRule="exact"/>
        <w:ind w:firstLine="640"/>
        <w:rPr>
          <w:rFonts w:hint="eastAsia" w:ascii="仿宋" w:hAnsi="仿宋" w:eastAsia="仿宋"/>
          <w:sz w:val="32"/>
          <w:szCs w:val="32"/>
        </w:rPr>
      </w:pPr>
      <w:r>
        <w:rPr>
          <w:rFonts w:hint="eastAsia" w:ascii="仿宋" w:hAnsi="仿宋" w:eastAsia="仿宋"/>
          <w:sz w:val="32"/>
          <w:szCs w:val="32"/>
        </w:rPr>
        <w:t xml:space="preserve">2.其他收入：指单位取得的除上述收入以外的各项收入。主要是指上级部门划拨的军休干部人员经费。 </w:t>
      </w:r>
    </w:p>
    <w:p>
      <w:pPr>
        <w:spacing w:line="600" w:lineRule="exact"/>
        <w:ind w:firstLine="640"/>
        <w:rPr>
          <w:rFonts w:hint="eastAsia" w:ascii="仿宋" w:hAnsi="仿宋" w:eastAsia="仿宋"/>
          <w:sz w:val="32"/>
          <w:szCs w:val="32"/>
        </w:rPr>
      </w:pPr>
      <w:r>
        <w:rPr>
          <w:rFonts w:hint="eastAsia" w:ascii="仿宋" w:hAnsi="仿宋" w:eastAsia="仿宋"/>
          <w:sz w:val="32"/>
          <w:szCs w:val="32"/>
        </w:rPr>
        <w:t xml:space="preserve">3.使用非财政拨款结余：指事业单位使用以前年度积累的非财政拨款结余弥补当年收支差额的金额。 </w:t>
      </w:r>
    </w:p>
    <w:p>
      <w:pPr>
        <w:spacing w:line="600" w:lineRule="exact"/>
        <w:ind w:firstLine="640"/>
        <w:rPr>
          <w:rFonts w:hint="eastAsia" w:ascii="仿宋" w:hAnsi="仿宋" w:eastAsia="仿宋"/>
          <w:sz w:val="32"/>
          <w:szCs w:val="32"/>
        </w:rPr>
      </w:pPr>
      <w:r>
        <w:rPr>
          <w:rFonts w:hint="eastAsia" w:ascii="仿宋" w:hAnsi="仿宋" w:eastAsia="仿宋"/>
          <w:sz w:val="32"/>
          <w:szCs w:val="32"/>
        </w:rPr>
        <w:t xml:space="preserve">4.年初结转和结余：指以前年度尚未完成、结转到本年按有关规定继续使用的资金。 </w:t>
      </w:r>
    </w:p>
    <w:p>
      <w:pPr>
        <w:spacing w:line="600" w:lineRule="exact"/>
        <w:ind w:firstLine="640"/>
        <w:rPr>
          <w:rFonts w:hint="eastAsia" w:ascii="仿宋" w:hAnsi="仿宋" w:eastAsia="仿宋"/>
          <w:sz w:val="32"/>
          <w:szCs w:val="32"/>
        </w:rPr>
      </w:pPr>
      <w:r>
        <w:rPr>
          <w:rFonts w:hint="eastAsia" w:ascii="仿宋" w:hAnsi="仿宋" w:eastAsia="仿宋"/>
          <w:sz w:val="32"/>
          <w:szCs w:val="32"/>
        </w:rPr>
        <w:t>5.年末结转和结余：指单位按有关规定结转到下年或以后年度继续使用的资金。</w:t>
      </w:r>
    </w:p>
    <w:p>
      <w:pPr>
        <w:spacing w:line="600" w:lineRule="exact"/>
        <w:ind w:firstLine="640"/>
        <w:rPr>
          <w:rFonts w:hint="eastAsia" w:ascii="仿宋" w:hAnsi="仿宋" w:eastAsia="仿宋"/>
          <w:sz w:val="32"/>
          <w:szCs w:val="32"/>
        </w:rPr>
      </w:pPr>
      <w:r>
        <w:rPr>
          <w:rFonts w:hint="eastAsia" w:ascii="仿宋" w:hAnsi="仿宋" w:eastAsia="仿宋"/>
          <w:sz w:val="32"/>
          <w:szCs w:val="32"/>
        </w:rPr>
        <w:t xml:space="preserve">6.社会保障和就业支出（类）人力资源和社会保障管理事务（款）其他人力资源和社会保障管理事务支出（项）：反映其他用于人力资源和社会保障管理事务方面的支出。  </w:t>
      </w:r>
    </w:p>
    <w:p>
      <w:pPr>
        <w:spacing w:line="600" w:lineRule="exact"/>
        <w:ind w:firstLine="640"/>
        <w:rPr>
          <w:rFonts w:hint="eastAsia" w:ascii="仿宋" w:hAnsi="仿宋" w:eastAsia="仿宋"/>
          <w:sz w:val="32"/>
          <w:szCs w:val="32"/>
        </w:rPr>
      </w:pPr>
      <w:bookmarkStart w:id="72" w:name="_Toc82073755"/>
      <w:r>
        <w:rPr>
          <w:rFonts w:hint="eastAsia" w:ascii="仿宋" w:hAnsi="仿宋" w:eastAsia="仿宋"/>
          <w:sz w:val="32"/>
          <w:szCs w:val="32"/>
        </w:rPr>
        <w:t>7.社会保障和就业支出（类）行政事业单位养老支出（款）事业单位离退休（项）:反映事业单位</w:t>
      </w:r>
      <w:bookmarkEnd w:id="72"/>
      <w:r>
        <w:rPr>
          <w:rFonts w:hint="eastAsia" w:ascii="仿宋" w:hAnsi="仿宋" w:eastAsia="仿宋"/>
          <w:sz w:val="32"/>
          <w:szCs w:val="32"/>
        </w:rPr>
        <w:t>开支的离退休经费。</w:t>
      </w:r>
    </w:p>
    <w:p>
      <w:pPr>
        <w:spacing w:line="600" w:lineRule="exact"/>
        <w:ind w:firstLine="640"/>
        <w:rPr>
          <w:rFonts w:hint="eastAsia" w:ascii="仿宋" w:hAnsi="仿宋" w:eastAsia="仿宋"/>
          <w:sz w:val="32"/>
          <w:szCs w:val="32"/>
        </w:rPr>
      </w:pPr>
      <w:bookmarkStart w:id="73" w:name="_Toc82073756"/>
      <w:r>
        <w:rPr>
          <w:rFonts w:hint="eastAsia" w:ascii="仿宋" w:hAnsi="仿宋" w:eastAsia="仿宋"/>
          <w:sz w:val="32"/>
          <w:szCs w:val="32"/>
        </w:rPr>
        <w:t>8.社会保障和就业支出（类）行政事业单位养老支出（款）机关事业单位基本养老保险缴费支出（项）:</w:t>
      </w:r>
      <w:bookmarkEnd w:id="73"/>
      <w:r>
        <w:rPr>
          <w:rFonts w:hint="eastAsia" w:ascii="仿宋" w:hAnsi="仿宋" w:eastAsia="仿宋"/>
          <w:sz w:val="32"/>
          <w:szCs w:val="32"/>
        </w:rPr>
        <w:t>反映机关事业单位实施养老保险制度由单位缴纳的基本养老保险费支出。</w:t>
      </w:r>
    </w:p>
    <w:p>
      <w:pPr>
        <w:spacing w:line="600" w:lineRule="exact"/>
        <w:ind w:firstLine="640"/>
        <w:rPr>
          <w:rFonts w:hint="eastAsia" w:ascii="仿宋" w:hAnsi="仿宋" w:eastAsia="仿宋"/>
          <w:sz w:val="32"/>
          <w:szCs w:val="32"/>
        </w:rPr>
      </w:pPr>
      <w:bookmarkStart w:id="74" w:name="_Toc82073757"/>
      <w:r>
        <w:rPr>
          <w:rFonts w:hint="eastAsia" w:ascii="仿宋" w:hAnsi="仿宋" w:eastAsia="仿宋"/>
          <w:sz w:val="32"/>
          <w:szCs w:val="32"/>
        </w:rPr>
        <w:t>9.社会保障和就业支出（类）抚恤（款）死亡抚恤（项）:反映</w:t>
      </w:r>
      <w:bookmarkEnd w:id="74"/>
      <w:r>
        <w:rPr>
          <w:rFonts w:hint="eastAsia" w:ascii="仿宋" w:hAnsi="仿宋" w:eastAsia="仿宋"/>
          <w:sz w:val="32"/>
          <w:szCs w:val="32"/>
        </w:rPr>
        <w:t>按规定用于烈士和牺牲、病故人员家属的一次性和定期抚恤金以及丧葬补助费。</w:t>
      </w:r>
    </w:p>
    <w:p>
      <w:pPr>
        <w:spacing w:line="600" w:lineRule="exact"/>
        <w:ind w:firstLine="640"/>
        <w:rPr>
          <w:rFonts w:hint="eastAsia" w:ascii="仿宋" w:hAnsi="仿宋" w:eastAsia="仿宋"/>
          <w:sz w:val="32"/>
          <w:szCs w:val="32"/>
        </w:rPr>
      </w:pPr>
      <w:bookmarkStart w:id="75" w:name="_Toc82073758"/>
      <w:r>
        <w:rPr>
          <w:rFonts w:hint="eastAsia" w:ascii="仿宋" w:hAnsi="仿宋" w:eastAsia="仿宋"/>
          <w:sz w:val="32"/>
          <w:szCs w:val="32"/>
          <w:lang w:val="en-US" w:eastAsia="zh-CN"/>
        </w:rPr>
        <w:t>10.</w:t>
      </w:r>
      <w:r>
        <w:rPr>
          <w:rFonts w:hint="eastAsia" w:ascii="仿宋" w:hAnsi="仿宋" w:eastAsia="仿宋"/>
          <w:sz w:val="32"/>
          <w:szCs w:val="32"/>
        </w:rPr>
        <w:t>社会保障和就业支出（类）退役安置（款）军队移交政府的离退休人员安置（项）:反映移交政府的军队离退休人员安置支出。</w:t>
      </w:r>
      <w:bookmarkEnd w:id="75"/>
    </w:p>
    <w:p>
      <w:pPr>
        <w:spacing w:line="600" w:lineRule="exact"/>
        <w:ind w:firstLine="640"/>
        <w:rPr>
          <w:rFonts w:hint="eastAsia" w:ascii="仿宋" w:hAnsi="仿宋" w:eastAsia="仿宋"/>
          <w:sz w:val="32"/>
          <w:szCs w:val="32"/>
        </w:rPr>
      </w:pPr>
      <w:bookmarkStart w:id="76" w:name="_Toc82073759"/>
      <w:r>
        <w:rPr>
          <w:rFonts w:hint="eastAsia" w:ascii="仿宋" w:hAnsi="仿宋" w:eastAsia="仿宋"/>
          <w:sz w:val="32"/>
          <w:szCs w:val="32"/>
          <w:lang w:val="en-US" w:eastAsia="zh-CN"/>
        </w:rPr>
        <w:t>11.</w:t>
      </w:r>
      <w:r>
        <w:rPr>
          <w:rFonts w:hint="eastAsia" w:ascii="仿宋" w:hAnsi="仿宋" w:eastAsia="仿宋"/>
          <w:sz w:val="32"/>
          <w:szCs w:val="32"/>
        </w:rPr>
        <w:t>社会保障和就业支出（类）退役安置（款）军队移交政府离退休干部管理机构（项）:反映退役军人事务部门管理的军队移交政府安置的离退休干部管理机构列入事业编制的人员经费、公用经费以及管理机构用房建设经费等支出。</w:t>
      </w:r>
      <w:bookmarkEnd w:id="76"/>
    </w:p>
    <w:p>
      <w:pPr>
        <w:spacing w:line="600" w:lineRule="exact"/>
        <w:ind w:firstLine="640"/>
        <w:rPr>
          <w:rFonts w:hint="eastAsia" w:ascii="仿宋" w:hAnsi="仿宋" w:eastAsia="仿宋"/>
          <w:sz w:val="32"/>
          <w:szCs w:val="32"/>
        </w:rPr>
      </w:pPr>
      <w:bookmarkStart w:id="77" w:name="_Toc82073767"/>
      <w:r>
        <w:rPr>
          <w:rFonts w:hint="eastAsia" w:ascii="仿宋" w:hAnsi="仿宋" w:eastAsia="仿宋"/>
          <w:sz w:val="32"/>
          <w:szCs w:val="32"/>
        </w:rPr>
        <w:t>12.住房保障支出（类）住房改革支出（款） 住房公积金（项）:反映行政事业单位</w:t>
      </w:r>
      <w:bookmarkEnd w:id="77"/>
      <w:r>
        <w:rPr>
          <w:rFonts w:hint="eastAsia" w:ascii="仿宋" w:hAnsi="仿宋" w:eastAsia="仿宋"/>
          <w:sz w:val="32"/>
          <w:szCs w:val="32"/>
        </w:rPr>
        <w:t>按人力资源和社会保障部、财政部规定的基本工资和津贴补贴以及规定比例为职工缴纳的住房公积金。</w:t>
      </w:r>
    </w:p>
    <w:p>
      <w:pPr>
        <w:spacing w:line="600" w:lineRule="exact"/>
        <w:ind w:firstLine="640"/>
        <w:rPr>
          <w:rFonts w:hint="eastAsia" w:ascii="仿宋" w:hAnsi="仿宋" w:eastAsia="仿宋"/>
          <w:sz w:val="32"/>
          <w:szCs w:val="32"/>
        </w:rPr>
      </w:pPr>
      <w:r>
        <w:rPr>
          <w:rFonts w:hint="eastAsia" w:ascii="仿宋" w:hAnsi="仿宋" w:eastAsia="仿宋"/>
          <w:sz w:val="32"/>
          <w:szCs w:val="32"/>
        </w:rPr>
        <w:t>13.基本支出：指为保障机构正常运转、完成日常工作任务而发生的人员支出和公用支出。</w:t>
      </w:r>
    </w:p>
    <w:p>
      <w:pPr>
        <w:spacing w:line="600" w:lineRule="exact"/>
        <w:ind w:firstLine="640"/>
        <w:rPr>
          <w:rFonts w:hint="eastAsia" w:ascii="仿宋" w:hAnsi="仿宋" w:eastAsia="仿宋"/>
          <w:sz w:val="32"/>
          <w:szCs w:val="32"/>
        </w:rPr>
      </w:pPr>
      <w:r>
        <w:rPr>
          <w:rFonts w:hint="eastAsia" w:ascii="仿宋" w:hAnsi="仿宋" w:eastAsia="仿宋"/>
          <w:sz w:val="32"/>
          <w:szCs w:val="32"/>
        </w:rPr>
        <w:t xml:space="preserve">14.项目支出：指在基本支出之外为完成特定行政任务和事业发展目标所发生的支出。 </w:t>
      </w:r>
    </w:p>
    <w:p>
      <w:pPr>
        <w:spacing w:line="600" w:lineRule="exact"/>
        <w:ind w:firstLine="640"/>
        <w:rPr>
          <w:rFonts w:hint="eastAsia" w:ascii="仿宋" w:hAnsi="仿宋" w:eastAsia="仿宋"/>
          <w:sz w:val="32"/>
          <w:szCs w:val="32"/>
        </w:rPr>
      </w:pPr>
      <w:r>
        <w:rPr>
          <w:rFonts w:hint="eastAsia" w:ascii="仿宋" w:hAnsi="仿宋" w:eastAsia="仿宋"/>
          <w:sz w:val="32"/>
          <w:szCs w:val="32"/>
        </w:rPr>
        <w:t>15.“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Pr>
      </w:pPr>
      <w:bookmarkStart w:id="78" w:name="_Toc15377226"/>
      <w:r>
        <w:rPr>
          <w:rFonts w:ascii="宋体"/>
          <w:b/>
          <w:sz w:val="44"/>
          <w:szCs w:val="44"/>
        </w:rPr>
        <w:br w:type="page"/>
      </w:r>
      <w:bookmarkStart w:id="79" w:name="_Toc31286"/>
      <w:bookmarkStart w:id="80" w:name="_Toc15396614"/>
      <w:r>
        <w:rPr>
          <w:rStyle w:val="24"/>
          <w:rFonts w:hint="eastAsia"/>
        </w:rPr>
        <w:t>第四部分 附件</w:t>
      </w:r>
      <w:bookmarkEnd w:id="79"/>
      <w:bookmarkEnd w:id="80"/>
    </w:p>
    <w:p>
      <w:pPr>
        <w:spacing w:line="572" w:lineRule="exact"/>
        <w:jc w:val="left"/>
        <w:outlineLvl w:val="9"/>
        <w:rPr>
          <w:rFonts w:ascii="仿宋_GB2312" w:hAnsi="仿宋_GB2312" w:eastAsia="仿宋_GB2312" w:cs="仿宋_GB2312"/>
          <w:sz w:val="32"/>
          <w:szCs w:val="32"/>
        </w:rPr>
      </w:pPr>
    </w:p>
    <w:p>
      <w:pPr>
        <w:spacing w:line="600" w:lineRule="exact"/>
        <w:ind w:firstLine="640"/>
        <w:rPr>
          <w:rFonts w:hint="eastAsia" w:ascii="仿宋" w:hAnsi="仿宋" w:eastAsia="仿宋"/>
          <w:sz w:val="32"/>
          <w:szCs w:val="32"/>
          <w:lang w:val="en-US" w:eastAsia="zh-CN"/>
        </w:rPr>
      </w:pPr>
      <w:bookmarkStart w:id="81" w:name="_Toc18018"/>
      <w:bookmarkStart w:id="82" w:name="_Toc15396618"/>
      <w:r>
        <w:rPr>
          <w:rFonts w:hint="eastAsia" w:ascii="仿宋" w:hAnsi="仿宋" w:eastAsia="仿宋"/>
          <w:sz w:val="32"/>
          <w:szCs w:val="32"/>
        </w:rPr>
        <w:t>部门预算项目支出绩效自评表（2022年度）见附件</w:t>
      </w:r>
      <w:bookmarkEnd w:id="81"/>
      <w:r>
        <w:rPr>
          <w:rFonts w:hint="eastAsia" w:ascii="仿宋" w:hAnsi="仿宋" w:eastAsia="仿宋"/>
          <w:sz w:val="32"/>
          <w:szCs w:val="32"/>
          <w:lang w:val="en-US" w:eastAsia="zh-CN"/>
        </w:rPr>
        <w:t>3</w:t>
      </w:r>
    </w:p>
    <w:p>
      <w:pPr>
        <w:spacing w:line="600" w:lineRule="exact"/>
        <w:jc w:val="left"/>
        <w:outlineLvl w:val="9"/>
        <w:rPr>
          <w:rFonts w:ascii="仿宋_GB2312" w:hAnsi="Calibri" w:eastAsia="仿宋_GB2312" w:cs="仿宋"/>
          <w:kern w:val="0"/>
          <w:sz w:val="32"/>
          <w:szCs w:val="32"/>
        </w:rPr>
      </w:pPr>
    </w:p>
    <w:p>
      <w:pPr>
        <w:pStyle w:val="2"/>
        <w:spacing w:before="93"/>
        <w:rPr>
          <w:rFonts w:hint="eastAsia" w:hAnsi="Calibri" w:cs="仿宋"/>
          <w:sz w:val="32"/>
          <w:szCs w:val="32"/>
        </w:rPr>
      </w:pPr>
    </w:p>
    <w:p>
      <w:pPr>
        <w:pStyle w:val="2"/>
        <w:spacing w:before="93"/>
        <w:rPr>
          <w:rFonts w:hint="eastAsia" w:hAnsi="Calibri" w:cs="仿宋"/>
          <w:sz w:val="32"/>
          <w:szCs w:val="32"/>
        </w:rPr>
      </w:pPr>
    </w:p>
    <w:p>
      <w:pPr>
        <w:pStyle w:val="2"/>
        <w:spacing w:before="93"/>
        <w:rPr>
          <w:rFonts w:hint="eastAsia" w:hAnsi="Calibri" w:cs="仿宋"/>
          <w:sz w:val="32"/>
          <w:szCs w:val="32"/>
        </w:rPr>
      </w:pPr>
    </w:p>
    <w:p>
      <w:pPr>
        <w:pStyle w:val="2"/>
        <w:spacing w:before="93"/>
        <w:rPr>
          <w:rFonts w:hint="eastAsia" w:hAnsi="Calibri" w:cs="仿宋"/>
          <w:sz w:val="32"/>
          <w:szCs w:val="32"/>
        </w:rPr>
      </w:pPr>
    </w:p>
    <w:p>
      <w:pPr>
        <w:pStyle w:val="2"/>
        <w:spacing w:before="93"/>
        <w:rPr>
          <w:rFonts w:hint="eastAsia"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3"/>
        <w:bidi w:val="0"/>
        <w:jc w:val="center"/>
      </w:pPr>
      <w:bookmarkStart w:id="83" w:name="_Toc27537"/>
      <w:r>
        <w:rPr>
          <w:rFonts w:hint="eastAsia"/>
        </w:rPr>
        <w:t>第五部分 附表</w:t>
      </w:r>
      <w:bookmarkEnd w:id="78"/>
      <w:bookmarkEnd w:id="82"/>
      <w:bookmarkEnd w:id="83"/>
      <w:bookmarkStart w:id="84" w:name="_Toc15396619"/>
    </w:p>
    <w:p>
      <w:pPr>
        <w:spacing w:line="600" w:lineRule="exact"/>
        <w:ind w:firstLine="640"/>
        <w:rPr>
          <w:rFonts w:hint="eastAsia" w:ascii="仿宋" w:hAnsi="仿宋" w:eastAsia="仿宋"/>
          <w:sz w:val="32"/>
          <w:szCs w:val="32"/>
        </w:rPr>
      </w:pPr>
      <w:bookmarkStart w:id="85" w:name="_Toc19999"/>
      <w:r>
        <w:rPr>
          <w:rFonts w:hint="eastAsia" w:ascii="仿宋" w:hAnsi="仿宋" w:eastAsia="仿宋"/>
          <w:sz w:val="32"/>
          <w:szCs w:val="32"/>
        </w:rPr>
        <w:t>一、收入支出决算总表</w:t>
      </w:r>
      <w:bookmarkEnd w:id="84"/>
      <w:bookmarkEnd w:id="85"/>
    </w:p>
    <w:p>
      <w:pPr>
        <w:spacing w:line="600" w:lineRule="exact"/>
        <w:ind w:firstLine="640"/>
        <w:rPr>
          <w:rFonts w:hint="eastAsia" w:ascii="仿宋" w:hAnsi="仿宋" w:eastAsia="仿宋"/>
          <w:sz w:val="32"/>
          <w:szCs w:val="32"/>
        </w:rPr>
      </w:pPr>
      <w:bookmarkStart w:id="86" w:name="_Toc8855"/>
      <w:bookmarkStart w:id="87" w:name="_Toc15396620"/>
      <w:r>
        <w:rPr>
          <w:rFonts w:hint="eastAsia" w:ascii="仿宋" w:hAnsi="仿宋" w:eastAsia="仿宋"/>
          <w:sz w:val="32"/>
          <w:szCs w:val="32"/>
        </w:rPr>
        <w:t>二、收入决算表</w:t>
      </w:r>
      <w:bookmarkEnd w:id="86"/>
      <w:bookmarkEnd w:id="87"/>
    </w:p>
    <w:p>
      <w:pPr>
        <w:spacing w:line="600" w:lineRule="exact"/>
        <w:ind w:firstLine="640"/>
        <w:rPr>
          <w:rFonts w:hint="eastAsia" w:ascii="仿宋" w:hAnsi="仿宋" w:eastAsia="仿宋"/>
          <w:sz w:val="32"/>
          <w:szCs w:val="32"/>
        </w:rPr>
      </w:pPr>
      <w:bookmarkStart w:id="88" w:name="_Toc6518"/>
      <w:bookmarkStart w:id="89" w:name="_Toc15396621"/>
      <w:r>
        <w:rPr>
          <w:rFonts w:hint="eastAsia" w:ascii="仿宋" w:hAnsi="仿宋" w:eastAsia="仿宋"/>
          <w:sz w:val="32"/>
          <w:szCs w:val="32"/>
        </w:rPr>
        <w:t>三、支出决算表</w:t>
      </w:r>
      <w:bookmarkEnd w:id="88"/>
      <w:bookmarkEnd w:id="89"/>
    </w:p>
    <w:p>
      <w:pPr>
        <w:spacing w:line="600" w:lineRule="exact"/>
        <w:ind w:firstLine="640"/>
        <w:rPr>
          <w:rFonts w:hint="eastAsia" w:ascii="仿宋" w:hAnsi="仿宋" w:eastAsia="仿宋"/>
          <w:sz w:val="32"/>
          <w:szCs w:val="32"/>
        </w:rPr>
      </w:pPr>
      <w:bookmarkStart w:id="90" w:name="_Toc15396622"/>
      <w:bookmarkStart w:id="91" w:name="_Toc24048"/>
      <w:r>
        <w:rPr>
          <w:rFonts w:hint="eastAsia" w:ascii="仿宋" w:hAnsi="仿宋" w:eastAsia="仿宋"/>
          <w:sz w:val="32"/>
          <w:szCs w:val="32"/>
        </w:rPr>
        <w:t>四、财政拨款收入支出决算总表</w:t>
      </w:r>
      <w:bookmarkEnd w:id="90"/>
      <w:bookmarkEnd w:id="91"/>
    </w:p>
    <w:p>
      <w:pPr>
        <w:spacing w:line="600" w:lineRule="exact"/>
        <w:ind w:firstLine="640"/>
        <w:rPr>
          <w:rFonts w:hint="eastAsia" w:ascii="仿宋" w:hAnsi="仿宋" w:eastAsia="仿宋"/>
          <w:sz w:val="32"/>
          <w:szCs w:val="32"/>
        </w:rPr>
      </w:pPr>
      <w:bookmarkStart w:id="92" w:name="_Toc17266"/>
      <w:bookmarkStart w:id="93" w:name="_Toc15396623"/>
      <w:r>
        <w:rPr>
          <w:rFonts w:hint="eastAsia" w:ascii="仿宋" w:hAnsi="仿宋" w:eastAsia="仿宋"/>
          <w:sz w:val="32"/>
          <w:szCs w:val="32"/>
        </w:rPr>
        <w:t>五、财政拨款支出决算明细表</w:t>
      </w:r>
      <w:bookmarkEnd w:id="92"/>
      <w:bookmarkEnd w:id="93"/>
      <w:bookmarkStart w:id="94" w:name="_Toc15396624"/>
    </w:p>
    <w:p>
      <w:pPr>
        <w:spacing w:line="600" w:lineRule="exact"/>
        <w:ind w:firstLine="640"/>
        <w:rPr>
          <w:rFonts w:hint="eastAsia" w:ascii="仿宋" w:hAnsi="仿宋" w:eastAsia="仿宋"/>
          <w:sz w:val="32"/>
          <w:szCs w:val="32"/>
        </w:rPr>
      </w:pPr>
      <w:bookmarkStart w:id="95" w:name="_Toc12174"/>
      <w:r>
        <w:rPr>
          <w:rFonts w:hint="eastAsia" w:ascii="仿宋" w:hAnsi="仿宋" w:eastAsia="仿宋"/>
          <w:sz w:val="32"/>
          <w:szCs w:val="32"/>
        </w:rPr>
        <w:t>六、一般公共预算财政拨款支出决算表</w:t>
      </w:r>
      <w:bookmarkEnd w:id="94"/>
      <w:bookmarkEnd w:id="95"/>
    </w:p>
    <w:p>
      <w:pPr>
        <w:spacing w:line="600" w:lineRule="exact"/>
        <w:ind w:firstLine="640"/>
        <w:rPr>
          <w:rFonts w:hint="eastAsia" w:ascii="仿宋" w:hAnsi="仿宋" w:eastAsia="仿宋"/>
          <w:sz w:val="32"/>
          <w:szCs w:val="32"/>
        </w:rPr>
      </w:pPr>
      <w:bookmarkStart w:id="96" w:name="_Toc15396625"/>
      <w:bookmarkStart w:id="97" w:name="_Toc13565"/>
      <w:r>
        <w:rPr>
          <w:rFonts w:hint="eastAsia" w:ascii="仿宋" w:hAnsi="仿宋" w:eastAsia="仿宋"/>
          <w:sz w:val="32"/>
          <w:szCs w:val="32"/>
        </w:rPr>
        <w:t>七、一般公共预算财政拨款支出决算明细表</w:t>
      </w:r>
      <w:bookmarkEnd w:id="96"/>
      <w:bookmarkEnd w:id="97"/>
    </w:p>
    <w:p>
      <w:pPr>
        <w:spacing w:line="600" w:lineRule="exact"/>
        <w:ind w:firstLine="640"/>
        <w:rPr>
          <w:rFonts w:hint="eastAsia" w:ascii="仿宋" w:hAnsi="仿宋" w:eastAsia="仿宋"/>
          <w:sz w:val="32"/>
          <w:szCs w:val="32"/>
        </w:rPr>
      </w:pPr>
      <w:bookmarkStart w:id="98" w:name="_Toc10327"/>
      <w:bookmarkStart w:id="99" w:name="_Toc15396626"/>
      <w:r>
        <w:rPr>
          <w:rFonts w:hint="eastAsia" w:ascii="仿宋" w:hAnsi="仿宋" w:eastAsia="仿宋"/>
          <w:sz w:val="32"/>
          <w:szCs w:val="32"/>
        </w:rPr>
        <w:t>八、一般公共预算财政拨款基本支出决算表</w:t>
      </w:r>
      <w:bookmarkEnd w:id="98"/>
      <w:bookmarkEnd w:id="99"/>
    </w:p>
    <w:p>
      <w:pPr>
        <w:spacing w:line="600" w:lineRule="exact"/>
        <w:ind w:firstLine="640"/>
        <w:rPr>
          <w:rFonts w:hint="eastAsia" w:ascii="仿宋" w:hAnsi="仿宋" w:eastAsia="仿宋"/>
          <w:sz w:val="32"/>
          <w:szCs w:val="32"/>
        </w:rPr>
      </w:pPr>
      <w:bookmarkStart w:id="100" w:name="_Toc15396627"/>
      <w:bookmarkStart w:id="101" w:name="_Toc24714"/>
      <w:r>
        <w:rPr>
          <w:rFonts w:hint="eastAsia" w:ascii="仿宋" w:hAnsi="仿宋" w:eastAsia="仿宋"/>
          <w:sz w:val="32"/>
          <w:szCs w:val="32"/>
        </w:rPr>
        <w:t>九、一般公共预算财政拨款项目支出决算表</w:t>
      </w:r>
      <w:bookmarkEnd w:id="100"/>
      <w:bookmarkEnd w:id="101"/>
    </w:p>
    <w:p>
      <w:pPr>
        <w:spacing w:line="600" w:lineRule="exact"/>
        <w:ind w:firstLine="640"/>
        <w:rPr>
          <w:rFonts w:hint="eastAsia" w:ascii="仿宋" w:hAnsi="仿宋" w:eastAsia="仿宋"/>
          <w:sz w:val="32"/>
          <w:szCs w:val="32"/>
        </w:rPr>
      </w:pPr>
      <w:bookmarkStart w:id="102" w:name="_Toc15396628"/>
      <w:bookmarkStart w:id="103" w:name="_Toc27042"/>
      <w:r>
        <w:rPr>
          <w:rFonts w:hint="eastAsia" w:ascii="仿宋" w:hAnsi="仿宋" w:eastAsia="仿宋"/>
          <w:sz w:val="32"/>
          <w:szCs w:val="32"/>
        </w:rPr>
        <w:t>十、</w:t>
      </w:r>
      <w:bookmarkEnd w:id="102"/>
      <w:r>
        <w:rPr>
          <w:rFonts w:hint="eastAsia" w:ascii="仿宋" w:hAnsi="仿宋" w:eastAsia="仿宋"/>
          <w:sz w:val="32"/>
          <w:szCs w:val="32"/>
        </w:rPr>
        <w:t>政府性基金预算财政拨款收入支出决算表</w:t>
      </w:r>
      <w:bookmarkEnd w:id="103"/>
    </w:p>
    <w:p>
      <w:pPr>
        <w:spacing w:line="600" w:lineRule="exact"/>
        <w:ind w:firstLine="640"/>
        <w:rPr>
          <w:rFonts w:hint="eastAsia" w:ascii="仿宋" w:hAnsi="仿宋" w:eastAsia="仿宋"/>
          <w:sz w:val="32"/>
          <w:szCs w:val="32"/>
        </w:rPr>
      </w:pPr>
      <w:bookmarkStart w:id="104" w:name="_Toc15396629"/>
      <w:bookmarkStart w:id="105" w:name="_Toc16370"/>
      <w:r>
        <w:rPr>
          <w:rFonts w:hint="eastAsia" w:ascii="仿宋" w:hAnsi="仿宋" w:eastAsia="仿宋"/>
          <w:sz w:val="32"/>
          <w:szCs w:val="32"/>
        </w:rPr>
        <w:t>十一、</w:t>
      </w:r>
      <w:bookmarkEnd w:id="104"/>
      <w:r>
        <w:rPr>
          <w:rFonts w:hint="eastAsia" w:ascii="仿宋" w:hAnsi="仿宋" w:eastAsia="仿宋"/>
          <w:sz w:val="32"/>
          <w:szCs w:val="32"/>
        </w:rPr>
        <w:t>国有资本经营预算财政拨款收入支出决算表</w:t>
      </w:r>
      <w:bookmarkEnd w:id="105"/>
    </w:p>
    <w:p>
      <w:pPr>
        <w:spacing w:line="600" w:lineRule="exact"/>
        <w:ind w:firstLine="640"/>
        <w:rPr>
          <w:rFonts w:hint="eastAsia" w:ascii="仿宋" w:hAnsi="仿宋" w:eastAsia="仿宋"/>
          <w:sz w:val="32"/>
          <w:szCs w:val="32"/>
        </w:rPr>
      </w:pPr>
      <w:bookmarkStart w:id="106" w:name="_Toc15396630"/>
      <w:bookmarkStart w:id="107" w:name="_Toc5156"/>
      <w:r>
        <w:rPr>
          <w:rFonts w:hint="eastAsia" w:ascii="仿宋" w:hAnsi="仿宋" w:eastAsia="仿宋"/>
          <w:sz w:val="32"/>
          <w:szCs w:val="32"/>
        </w:rPr>
        <w:t>十二、</w:t>
      </w:r>
      <w:bookmarkEnd w:id="106"/>
      <w:r>
        <w:rPr>
          <w:rFonts w:hint="eastAsia" w:ascii="仿宋" w:hAnsi="仿宋" w:eastAsia="仿宋"/>
          <w:sz w:val="32"/>
          <w:szCs w:val="32"/>
        </w:rPr>
        <w:t>国有资本经营预算财政拨款支出决算表</w:t>
      </w:r>
      <w:bookmarkEnd w:id="107"/>
    </w:p>
    <w:p>
      <w:pPr>
        <w:spacing w:line="600" w:lineRule="exact"/>
        <w:ind w:firstLine="640"/>
        <w:rPr>
          <w:rFonts w:hint="eastAsia" w:ascii="仿宋" w:hAnsi="仿宋" w:eastAsia="仿宋"/>
          <w:sz w:val="32"/>
          <w:szCs w:val="32"/>
        </w:rPr>
      </w:pPr>
      <w:bookmarkStart w:id="108" w:name="_Toc15396631"/>
      <w:bookmarkStart w:id="109" w:name="_Toc20059"/>
      <w:r>
        <w:rPr>
          <w:rFonts w:hint="eastAsia" w:ascii="仿宋" w:hAnsi="仿宋" w:eastAsia="仿宋"/>
          <w:sz w:val="32"/>
          <w:szCs w:val="32"/>
        </w:rPr>
        <w:t>十三、</w:t>
      </w:r>
      <w:bookmarkEnd w:id="108"/>
      <w:r>
        <w:rPr>
          <w:rFonts w:hint="eastAsia" w:ascii="仿宋" w:hAnsi="仿宋" w:eastAsia="仿宋"/>
          <w:sz w:val="32"/>
          <w:szCs w:val="32"/>
        </w:rPr>
        <w:t>财政拨款“三公”经费支出决算表</w:t>
      </w:r>
      <w:bookmarkEnd w:id="109"/>
    </w:p>
    <w:p>
      <w:pPr>
        <w:pStyle w:val="4"/>
        <w:outlineLvl w:val="9"/>
        <w:rPr>
          <w:rStyle w:val="25"/>
          <w:rFonts w:ascii="仿宋" w:hAnsi="仿宋" w:eastAsia="仿宋"/>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mNTY2MjA0MmRjZDlhYzNlY2E1MTM5NjBkNDg2ZDYifQ=="/>
  </w:docVars>
  <w:rsids>
    <w:rsidRoot w:val="00F1361C"/>
    <w:rsid w:val="000075AB"/>
    <w:rsid w:val="000222C6"/>
    <w:rsid w:val="0002549F"/>
    <w:rsid w:val="000468DB"/>
    <w:rsid w:val="00047313"/>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7B76"/>
    <w:rsid w:val="000E41AB"/>
    <w:rsid w:val="000E6613"/>
    <w:rsid w:val="000E7119"/>
    <w:rsid w:val="000F3D30"/>
    <w:rsid w:val="001038C9"/>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C7E8F"/>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12C1"/>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7154"/>
    <w:rsid w:val="004223DE"/>
    <w:rsid w:val="00434489"/>
    <w:rsid w:val="00437085"/>
    <w:rsid w:val="00437AE4"/>
    <w:rsid w:val="00443880"/>
    <w:rsid w:val="004464F4"/>
    <w:rsid w:val="00464B39"/>
    <w:rsid w:val="00471401"/>
    <w:rsid w:val="00473F31"/>
    <w:rsid w:val="0048263A"/>
    <w:rsid w:val="00485945"/>
    <w:rsid w:val="00487E5D"/>
    <w:rsid w:val="00495664"/>
    <w:rsid w:val="004A711F"/>
    <w:rsid w:val="004B199D"/>
    <w:rsid w:val="004B4690"/>
    <w:rsid w:val="004E0A2D"/>
    <w:rsid w:val="004E206B"/>
    <w:rsid w:val="004E6DF7"/>
    <w:rsid w:val="004F0FBD"/>
    <w:rsid w:val="00505A47"/>
    <w:rsid w:val="00512FDA"/>
    <w:rsid w:val="00520DA0"/>
    <w:rsid w:val="005349DE"/>
    <w:rsid w:val="005368E2"/>
    <w:rsid w:val="00553689"/>
    <w:rsid w:val="005664BB"/>
    <w:rsid w:val="00566FFA"/>
    <w:rsid w:val="0057481D"/>
    <w:rsid w:val="0058486E"/>
    <w:rsid w:val="00585B33"/>
    <w:rsid w:val="0059014D"/>
    <w:rsid w:val="005A049A"/>
    <w:rsid w:val="005B5C58"/>
    <w:rsid w:val="005B5C64"/>
    <w:rsid w:val="005C5337"/>
    <w:rsid w:val="005C6BD0"/>
    <w:rsid w:val="005C746D"/>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74F6"/>
    <w:rsid w:val="00681A31"/>
    <w:rsid w:val="00683E73"/>
    <w:rsid w:val="0069304D"/>
    <w:rsid w:val="006A3141"/>
    <w:rsid w:val="006A5E34"/>
    <w:rsid w:val="006B2422"/>
    <w:rsid w:val="006B2B9A"/>
    <w:rsid w:val="006C1937"/>
    <w:rsid w:val="006F020C"/>
    <w:rsid w:val="007127B7"/>
    <w:rsid w:val="0071798E"/>
    <w:rsid w:val="007416B6"/>
    <w:rsid w:val="00746F48"/>
    <w:rsid w:val="00752B0B"/>
    <w:rsid w:val="0075404D"/>
    <w:rsid w:val="0076182A"/>
    <w:rsid w:val="00765B1A"/>
    <w:rsid w:val="00767B7E"/>
    <w:rsid w:val="0077657D"/>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4CA6"/>
    <w:rsid w:val="008253BB"/>
    <w:rsid w:val="0083706E"/>
    <w:rsid w:val="008408F6"/>
    <w:rsid w:val="008423A5"/>
    <w:rsid w:val="008460DF"/>
    <w:rsid w:val="00850625"/>
    <w:rsid w:val="00853718"/>
    <w:rsid w:val="00855221"/>
    <w:rsid w:val="00860645"/>
    <w:rsid w:val="00871F71"/>
    <w:rsid w:val="00872FD8"/>
    <w:rsid w:val="00884407"/>
    <w:rsid w:val="00885AF4"/>
    <w:rsid w:val="008939CD"/>
    <w:rsid w:val="008A28B5"/>
    <w:rsid w:val="008B768C"/>
    <w:rsid w:val="008C4DB1"/>
    <w:rsid w:val="008C4EAF"/>
    <w:rsid w:val="008C5176"/>
    <w:rsid w:val="008C7FD0"/>
    <w:rsid w:val="008E1DE7"/>
    <w:rsid w:val="008E707C"/>
    <w:rsid w:val="00900B08"/>
    <w:rsid w:val="00902155"/>
    <w:rsid w:val="00902FA3"/>
    <w:rsid w:val="00903F9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245"/>
    <w:rsid w:val="009F2A13"/>
    <w:rsid w:val="009F7527"/>
    <w:rsid w:val="00A04EB0"/>
    <w:rsid w:val="00A13CC1"/>
    <w:rsid w:val="00A15BD2"/>
    <w:rsid w:val="00A1642D"/>
    <w:rsid w:val="00A16847"/>
    <w:rsid w:val="00A210EC"/>
    <w:rsid w:val="00A237D8"/>
    <w:rsid w:val="00A268C4"/>
    <w:rsid w:val="00A307CD"/>
    <w:rsid w:val="00A331C8"/>
    <w:rsid w:val="00A35860"/>
    <w:rsid w:val="00A40A00"/>
    <w:rsid w:val="00A4142F"/>
    <w:rsid w:val="00A422EB"/>
    <w:rsid w:val="00A45BB7"/>
    <w:rsid w:val="00A515AC"/>
    <w:rsid w:val="00A56DF2"/>
    <w:rsid w:val="00A56E6E"/>
    <w:rsid w:val="00A666B2"/>
    <w:rsid w:val="00A67AB5"/>
    <w:rsid w:val="00A733B2"/>
    <w:rsid w:val="00A741C2"/>
    <w:rsid w:val="00A91760"/>
    <w:rsid w:val="00A93B00"/>
    <w:rsid w:val="00A93C21"/>
    <w:rsid w:val="00A94DE1"/>
    <w:rsid w:val="00AB64C9"/>
    <w:rsid w:val="00AC3C6A"/>
    <w:rsid w:val="00AD5620"/>
    <w:rsid w:val="00AD656B"/>
    <w:rsid w:val="00AD7C1B"/>
    <w:rsid w:val="00AE16BA"/>
    <w:rsid w:val="00AE1EBE"/>
    <w:rsid w:val="00AE7A18"/>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58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95B68"/>
    <w:rsid w:val="00CB0F5D"/>
    <w:rsid w:val="00CB4E70"/>
    <w:rsid w:val="00CC09B6"/>
    <w:rsid w:val="00CC666F"/>
    <w:rsid w:val="00CD1E3F"/>
    <w:rsid w:val="00CE44F6"/>
    <w:rsid w:val="00CE49DA"/>
    <w:rsid w:val="00CE6775"/>
    <w:rsid w:val="00CE7B61"/>
    <w:rsid w:val="00D00095"/>
    <w:rsid w:val="00D060A2"/>
    <w:rsid w:val="00D114F0"/>
    <w:rsid w:val="00D20620"/>
    <w:rsid w:val="00D254F7"/>
    <w:rsid w:val="00D26091"/>
    <w:rsid w:val="00D2685C"/>
    <w:rsid w:val="00D34E7C"/>
    <w:rsid w:val="00D35489"/>
    <w:rsid w:val="00D36AFE"/>
    <w:rsid w:val="00D51276"/>
    <w:rsid w:val="00D620DC"/>
    <w:rsid w:val="00D7035F"/>
    <w:rsid w:val="00D713A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681D"/>
    <w:rsid w:val="00F81FD9"/>
    <w:rsid w:val="00F841AA"/>
    <w:rsid w:val="00F84A94"/>
    <w:rsid w:val="00F87E96"/>
    <w:rsid w:val="00F96DFE"/>
    <w:rsid w:val="00FA23E8"/>
    <w:rsid w:val="00FC570E"/>
    <w:rsid w:val="00FD3CC1"/>
    <w:rsid w:val="00FF1E02"/>
    <w:rsid w:val="00FF30B4"/>
    <w:rsid w:val="01D85B78"/>
    <w:rsid w:val="02AC379E"/>
    <w:rsid w:val="0519283C"/>
    <w:rsid w:val="053A62B5"/>
    <w:rsid w:val="057D3573"/>
    <w:rsid w:val="08A265BE"/>
    <w:rsid w:val="09905C3C"/>
    <w:rsid w:val="09DB2570"/>
    <w:rsid w:val="0A2032A3"/>
    <w:rsid w:val="0B8A37D8"/>
    <w:rsid w:val="0DFD5FDB"/>
    <w:rsid w:val="10C055FF"/>
    <w:rsid w:val="111354C8"/>
    <w:rsid w:val="118107EC"/>
    <w:rsid w:val="119412C4"/>
    <w:rsid w:val="11DD6519"/>
    <w:rsid w:val="12D378B3"/>
    <w:rsid w:val="13C17194"/>
    <w:rsid w:val="141A6915"/>
    <w:rsid w:val="154B6E14"/>
    <w:rsid w:val="16BB723D"/>
    <w:rsid w:val="16EB0551"/>
    <w:rsid w:val="18015F3F"/>
    <w:rsid w:val="197C7144"/>
    <w:rsid w:val="1BE8440E"/>
    <w:rsid w:val="1C055DBE"/>
    <w:rsid w:val="1C8474D8"/>
    <w:rsid w:val="1D155CEE"/>
    <w:rsid w:val="1FAE1ECA"/>
    <w:rsid w:val="209761D9"/>
    <w:rsid w:val="20F57F95"/>
    <w:rsid w:val="21013A0C"/>
    <w:rsid w:val="22AF5F78"/>
    <w:rsid w:val="22B01EA2"/>
    <w:rsid w:val="22EE43A8"/>
    <w:rsid w:val="240371BF"/>
    <w:rsid w:val="24645D77"/>
    <w:rsid w:val="25711CC6"/>
    <w:rsid w:val="25C741E6"/>
    <w:rsid w:val="25EB0D51"/>
    <w:rsid w:val="27842671"/>
    <w:rsid w:val="29FD04D3"/>
    <w:rsid w:val="2ABE7A3E"/>
    <w:rsid w:val="2CA234A8"/>
    <w:rsid w:val="2CA37B48"/>
    <w:rsid w:val="2D330277"/>
    <w:rsid w:val="2E587616"/>
    <w:rsid w:val="2EFA178C"/>
    <w:rsid w:val="2F611B19"/>
    <w:rsid w:val="309D5016"/>
    <w:rsid w:val="30B46D73"/>
    <w:rsid w:val="310D7A87"/>
    <w:rsid w:val="319F7F4E"/>
    <w:rsid w:val="31F12C5A"/>
    <w:rsid w:val="32A66037"/>
    <w:rsid w:val="33760A44"/>
    <w:rsid w:val="34951F15"/>
    <w:rsid w:val="349826F9"/>
    <w:rsid w:val="361D525C"/>
    <w:rsid w:val="37EA2F40"/>
    <w:rsid w:val="383D272C"/>
    <w:rsid w:val="39AE70AB"/>
    <w:rsid w:val="3C0C0783"/>
    <w:rsid w:val="3F9F3A96"/>
    <w:rsid w:val="42BE7C4D"/>
    <w:rsid w:val="48117E38"/>
    <w:rsid w:val="48BF60AB"/>
    <w:rsid w:val="491B2B24"/>
    <w:rsid w:val="493C27E9"/>
    <w:rsid w:val="496F39ED"/>
    <w:rsid w:val="49FF41D3"/>
    <w:rsid w:val="4A677592"/>
    <w:rsid w:val="4A86076F"/>
    <w:rsid w:val="4BE068DB"/>
    <w:rsid w:val="4BF6002B"/>
    <w:rsid w:val="4C715FC1"/>
    <w:rsid w:val="4ECE2238"/>
    <w:rsid w:val="5186674D"/>
    <w:rsid w:val="51DB4B86"/>
    <w:rsid w:val="525C7EB3"/>
    <w:rsid w:val="55333C3E"/>
    <w:rsid w:val="56480B7E"/>
    <w:rsid w:val="5E774A07"/>
    <w:rsid w:val="6151226E"/>
    <w:rsid w:val="63FA2EA5"/>
    <w:rsid w:val="64CA39A1"/>
    <w:rsid w:val="67E353F5"/>
    <w:rsid w:val="68C65A8B"/>
    <w:rsid w:val="69630ADE"/>
    <w:rsid w:val="6BB73C6D"/>
    <w:rsid w:val="6C4A05C8"/>
    <w:rsid w:val="6D3B1A89"/>
    <w:rsid w:val="71BF4EC2"/>
    <w:rsid w:val="72734D90"/>
    <w:rsid w:val="73455D2A"/>
    <w:rsid w:val="7412278C"/>
    <w:rsid w:val="769A4977"/>
    <w:rsid w:val="77166770"/>
    <w:rsid w:val="78E414D5"/>
    <w:rsid w:val="79E7B28D"/>
    <w:rsid w:val="7A1C1A38"/>
    <w:rsid w:val="7A8A28F0"/>
    <w:rsid w:val="7BA32147"/>
    <w:rsid w:val="7CE724EF"/>
    <w:rsid w:val="7ED52493"/>
    <w:rsid w:val="7F572787"/>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4772</Words>
  <Characters>5198</Characters>
  <Lines>5</Lines>
  <Paragraphs>10</Paragraphs>
  <TotalTime>7</TotalTime>
  <ScaleCrop>false</ScaleCrop>
  <LinksUpToDate>false</LinksUpToDate>
  <CharactersWithSpaces>5321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飞飞鱼</cp:lastModifiedBy>
  <cp:lastPrinted>2023-07-31T02:35:00Z</cp:lastPrinted>
  <dcterms:modified xsi:type="dcterms:W3CDTF">2023-09-18T08:53:42Z</dcterms:modified>
  <dc:title>四川省***</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F58D95F7209141C3937696F3208A4E34_12</vt:lpwstr>
  </property>
</Properties>
</file>