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szCs w:val="21"/>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96475"/>
      <w:bookmarkStart w:id="3" w:name="_Toc15378441"/>
      <w:bookmarkStart w:id="4" w:name="_Toc15377425"/>
      <w:bookmarkStart w:id="5" w:name="_Toc15377193"/>
      <w:bookmarkStart w:id="6" w:name="_Toc24302"/>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96598"/>
      <w:bookmarkStart w:id="8" w:name="_Toc22754"/>
      <w:bookmarkStart w:id="9" w:name="_Toc15377426"/>
      <w:bookmarkStart w:id="10" w:name="_Toc15396476"/>
      <w:bookmarkStart w:id="11" w:name="_Toc15377194"/>
      <w:bookmarkStart w:id="12" w:name="_Toc15378442"/>
      <w:r>
        <w:rPr>
          <w:rFonts w:hint="eastAsia" w:ascii="方正小标宋简体" w:hAnsi="方正小标宋简体" w:eastAsia="方正小标宋简体" w:cs="方正小标宋简体"/>
          <w:sz w:val="72"/>
          <w:szCs w:val="72"/>
        </w:rPr>
        <w:t>攀枝花市</w:t>
      </w:r>
      <w:bookmarkEnd w:id="0"/>
      <w:bookmarkStart w:id="13" w:name="_Toc15306268"/>
      <w:r>
        <w:rPr>
          <w:rFonts w:hint="eastAsia" w:ascii="方正小标宋简体" w:hAnsi="方正小标宋简体" w:eastAsia="方正小标宋简体" w:cs="方正小标宋简体"/>
          <w:sz w:val="72"/>
          <w:szCs w:val="72"/>
        </w:rPr>
        <w:t>退役军人事务局单位决算</w:t>
      </w:r>
      <w:bookmarkEnd w:id="7"/>
      <w:bookmarkEnd w:id="8"/>
      <w:bookmarkEnd w:id="9"/>
      <w:bookmarkEnd w:id="10"/>
      <w:bookmarkEnd w:id="11"/>
      <w:bookmarkEnd w:id="12"/>
      <w:bookmarkEnd w:id="13"/>
    </w:p>
    <w:p>
      <w:pPr>
        <w:adjustRightInd w:val="0"/>
        <w:snapToGrid w:val="0"/>
        <w:spacing w:line="360" w:lineRule="auto"/>
        <w:jc w:val="center"/>
        <w:rPr>
          <w:rFonts w:ascii="方正小标宋简体" w:hAnsi="宋体" w:eastAsia="方正小标宋简体"/>
          <w:sz w:val="52"/>
          <w:szCs w:val="52"/>
        </w:rPr>
      </w:pPr>
    </w:p>
    <w:p>
      <w:pPr>
        <w:widowControl/>
        <w:jc w:val="center"/>
        <w:outlineLvl w:val="0"/>
        <w:rPr>
          <w:rFonts w:ascii="黑体" w:hAnsi="黑体" w:eastAsia="黑体"/>
          <w:sz w:val="48"/>
          <w:szCs w:val="48"/>
        </w:rPr>
      </w:pPr>
      <w:r>
        <w:rPr>
          <w:rFonts w:ascii="方正小标宋简体" w:hAnsi="宋体" w:eastAsia="方正小标宋简体"/>
          <w:sz w:val="36"/>
          <w:szCs w:val="36"/>
        </w:rPr>
        <w:br w:type="page"/>
      </w:r>
      <w:bookmarkStart w:id="14" w:name="_Toc17983"/>
      <w:r>
        <w:rPr>
          <w:rFonts w:hint="eastAsia" w:ascii="黑体" w:hAnsi="黑体" w:eastAsia="黑体"/>
          <w:sz w:val="48"/>
          <w:szCs w:val="48"/>
        </w:rPr>
        <w:t>目录</w:t>
      </w:r>
      <w:bookmarkEnd w:id="14"/>
    </w:p>
    <w:p>
      <w:pPr>
        <w:widowControl/>
        <w:jc w:val="center"/>
        <w:rPr>
          <w:rFonts w:ascii="黑体" w:hAnsi="黑体" w:eastAsia="黑体" w:cstheme="minorBidi"/>
          <w:sz w:val="28"/>
          <w:szCs w:val="28"/>
        </w:rPr>
      </w:pPr>
    </w:p>
    <w:p>
      <w:pPr>
        <w:pStyle w:val="10"/>
      </w:pPr>
      <w:r>
        <w:rPr>
          <w:rFonts w:hint="eastAsia"/>
        </w:rPr>
        <w:t>公开时间：2023年9月</w:t>
      </w:r>
      <w:r>
        <w:rPr>
          <w:rFonts w:hint="eastAsia"/>
          <w:lang w:val="en-US" w:eastAsia="zh-CN"/>
        </w:rPr>
        <w:t>5</w:t>
      </w:r>
      <w:bookmarkStart w:id="105" w:name="_GoBack"/>
      <w:bookmarkEnd w:id="105"/>
      <w:r>
        <w:rPr>
          <w:rFonts w:hint="eastAsia"/>
        </w:rPr>
        <w:t>日</w:t>
      </w:r>
    </w:p>
    <w:p/>
    <w:sdt>
      <w:sdtPr>
        <w:rPr>
          <w:rFonts w:ascii="宋体" w:hAnsi="宋体"/>
        </w:rPr>
        <w:id w:val="147470398"/>
        <w15:color w:val="DBDBDB"/>
        <w:docPartObj>
          <w:docPartGallery w:val="Table of Contents"/>
          <w:docPartUnique/>
        </w:docPartObj>
      </w:sdtPr>
      <w:sdtEndPr>
        <w:rPr>
          <w:rFonts w:ascii="仿宋_GB2312" w:hAnsi="Times New Roman" w:eastAsia="仿宋_GB2312"/>
          <w:b/>
          <w:kern w:val="0"/>
          <w:sz w:val="30"/>
        </w:rPr>
      </w:sdtEndPr>
      <w:sdtContent>
        <w:p>
          <w:pPr>
            <w:jc w:val="center"/>
            <w:rPr>
              <w:b/>
            </w:rPr>
          </w:pPr>
          <w:r>
            <w:fldChar w:fldCharType="begin"/>
          </w:r>
          <w:r>
            <w:instrText xml:space="preserve">TOC \o "1-2" \h \u </w:instrText>
          </w:r>
          <w:r>
            <w:fldChar w:fldCharType="separate"/>
          </w:r>
        </w:p>
        <w:p>
          <w:pPr>
            <w:pStyle w:val="10"/>
            <w:adjustRightInd w:val="0"/>
            <w:snapToGrid w:val="0"/>
            <w:spacing w:before="0" w:line="440" w:lineRule="exact"/>
            <w:jc w:val="left"/>
            <w:outlineLvl w:val="0"/>
            <w:rPr>
              <w:b/>
              <w:bCs/>
              <w:sz w:val="24"/>
            </w:rPr>
          </w:pPr>
          <w:r>
            <w:fldChar w:fldCharType="begin"/>
          </w:r>
          <w:r>
            <w:instrText xml:space="preserve"> HYPERLINK \l "_Toc3287" </w:instrText>
          </w:r>
          <w:r>
            <w:fldChar w:fldCharType="separate"/>
          </w:r>
          <w:r>
            <w:rPr>
              <w:rFonts w:hint="eastAsia"/>
              <w:b/>
              <w:bCs/>
              <w:sz w:val="24"/>
            </w:rPr>
            <w:t>第一部分 单位概况</w:t>
          </w:r>
          <w:r>
            <w:rPr>
              <w:rFonts w:hint="eastAsia"/>
              <w:b/>
              <w:bCs/>
              <w:sz w:val="24"/>
            </w:rPr>
            <w:tab/>
          </w:r>
          <w:r>
            <w:rPr>
              <w:rFonts w:hint="eastAsia"/>
              <w:b/>
              <w:bCs/>
              <w:sz w:val="24"/>
            </w:rPr>
            <w:fldChar w:fldCharType="begin"/>
          </w:r>
          <w:r>
            <w:rPr>
              <w:rFonts w:hint="eastAsia"/>
              <w:b/>
              <w:bCs/>
              <w:sz w:val="24"/>
            </w:rPr>
            <w:instrText xml:space="preserve"> PAGEREF _Toc3287 \h </w:instrText>
          </w:r>
          <w:r>
            <w:rPr>
              <w:rFonts w:hint="eastAsia"/>
              <w:b/>
              <w:bCs/>
              <w:sz w:val="24"/>
            </w:rPr>
            <w:fldChar w:fldCharType="separate"/>
          </w:r>
          <w:r>
            <w:rPr>
              <w:rFonts w:hint="eastAsia"/>
              <w:b/>
              <w:bCs/>
              <w:sz w:val="24"/>
            </w:rPr>
            <w:t>4</w:t>
          </w:r>
          <w:r>
            <w:rPr>
              <w:rFonts w:hint="eastAsia"/>
              <w:b/>
              <w:bCs/>
              <w:sz w:val="24"/>
            </w:rPr>
            <w:fldChar w:fldCharType="end"/>
          </w:r>
          <w:r>
            <w:rPr>
              <w:rFonts w:hint="eastAsia"/>
              <w:b/>
              <w:bCs/>
              <w:sz w:val="24"/>
            </w:rPr>
            <w:fldChar w:fldCharType="end"/>
          </w:r>
        </w:p>
        <w:p>
          <w:pPr>
            <w:pStyle w:val="11"/>
            <w:adjustRightInd w:val="0"/>
            <w:snapToGrid w:val="0"/>
            <w:spacing w:line="440" w:lineRule="exact"/>
            <w:jc w:val="left"/>
            <w:rPr>
              <w:sz w:val="24"/>
            </w:rPr>
          </w:pPr>
          <w:r>
            <w:fldChar w:fldCharType="begin"/>
          </w:r>
          <w:r>
            <w:instrText xml:space="preserve"> HYPERLINK \l "_Toc15450" </w:instrText>
          </w:r>
          <w:r>
            <w:fldChar w:fldCharType="separate"/>
          </w:r>
          <w:r>
            <w:rPr>
              <w:rFonts w:hint="eastAsia"/>
              <w:sz w:val="24"/>
            </w:rPr>
            <w:t>一、主要职责</w:t>
          </w:r>
          <w:r>
            <w:rPr>
              <w:rFonts w:hint="eastAsia"/>
              <w:sz w:val="24"/>
            </w:rPr>
            <w:tab/>
          </w:r>
          <w:r>
            <w:rPr>
              <w:rFonts w:hint="eastAsia"/>
              <w:sz w:val="24"/>
            </w:rPr>
            <w:fldChar w:fldCharType="begin"/>
          </w:r>
          <w:r>
            <w:rPr>
              <w:rFonts w:hint="eastAsia"/>
              <w:sz w:val="24"/>
            </w:rPr>
            <w:instrText xml:space="preserve"> PAGEREF _Toc15450 \h </w:instrText>
          </w:r>
          <w:r>
            <w:rPr>
              <w:rFonts w:hint="eastAsia"/>
              <w:sz w:val="24"/>
            </w:rPr>
            <w:fldChar w:fldCharType="separate"/>
          </w:r>
          <w:r>
            <w:rPr>
              <w:rFonts w:hint="eastAsia"/>
              <w:sz w:val="24"/>
            </w:rPr>
            <w:t>4</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"_Toc9259" </w:instrText>
          </w:r>
          <w:r>
            <w:fldChar w:fldCharType="separate"/>
          </w:r>
          <w:r>
            <w:rPr>
              <w:rFonts w:hint="eastAsia"/>
              <w:sz w:val="24"/>
            </w:rPr>
            <w:t>二、机构设置</w:t>
          </w:r>
          <w:r>
            <w:rPr>
              <w:rFonts w:hint="eastAsia"/>
              <w:sz w:val="24"/>
            </w:rPr>
            <w:tab/>
          </w:r>
          <w:r>
            <w:rPr>
              <w:rFonts w:hint="eastAsia"/>
              <w:sz w:val="24"/>
            </w:rPr>
            <w:fldChar w:fldCharType="begin"/>
          </w:r>
          <w:r>
            <w:rPr>
              <w:rFonts w:hint="eastAsia"/>
              <w:sz w:val="24"/>
            </w:rPr>
            <w:instrText xml:space="preserve"> PAGEREF _Toc9259 \h </w:instrText>
          </w:r>
          <w:r>
            <w:rPr>
              <w:rFonts w:hint="eastAsia"/>
              <w:sz w:val="24"/>
            </w:rPr>
            <w:fldChar w:fldCharType="separate"/>
          </w:r>
          <w:r>
            <w:rPr>
              <w:rFonts w:hint="eastAsia"/>
              <w:sz w:val="24"/>
            </w:rPr>
            <w:t>4</w:t>
          </w:r>
          <w:r>
            <w:rPr>
              <w:rFonts w:hint="eastAsia"/>
              <w:sz w:val="24"/>
            </w:rPr>
            <w:fldChar w:fldCharType="end"/>
          </w:r>
          <w:r>
            <w:rPr>
              <w:rFonts w:hint="eastAsia"/>
              <w:sz w:val="24"/>
            </w:rPr>
            <w:fldChar w:fldCharType="end"/>
          </w:r>
        </w:p>
        <w:p>
          <w:pPr>
            <w:pStyle w:val="10"/>
            <w:adjustRightInd w:val="0"/>
            <w:snapToGrid w:val="0"/>
            <w:spacing w:before="0" w:line="440" w:lineRule="exact"/>
            <w:jc w:val="left"/>
            <w:outlineLvl w:val="0"/>
            <w:rPr>
              <w:b/>
              <w:bCs/>
              <w:sz w:val="24"/>
            </w:rPr>
          </w:pPr>
          <w:r>
            <w:fldChar w:fldCharType="begin"/>
          </w:r>
          <w:r>
            <w:instrText xml:space="preserve"> HYPERLINK \l "_Toc10393" </w:instrText>
          </w:r>
          <w:r>
            <w:fldChar w:fldCharType="separate"/>
          </w:r>
          <w:r>
            <w:rPr>
              <w:rFonts w:hint="eastAsia"/>
              <w:b/>
              <w:bCs/>
              <w:sz w:val="24"/>
            </w:rPr>
            <w:t>第二部分 2022年度单位决算情况说明</w:t>
          </w:r>
          <w:r>
            <w:rPr>
              <w:rFonts w:hint="eastAsia"/>
              <w:b/>
              <w:bCs/>
              <w:sz w:val="24"/>
            </w:rPr>
            <w:tab/>
          </w:r>
          <w:r>
            <w:rPr>
              <w:rFonts w:hint="eastAsia"/>
              <w:b/>
              <w:bCs/>
              <w:sz w:val="24"/>
            </w:rPr>
            <w:fldChar w:fldCharType="begin"/>
          </w:r>
          <w:r>
            <w:rPr>
              <w:rFonts w:hint="eastAsia"/>
              <w:b/>
              <w:bCs/>
              <w:sz w:val="24"/>
            </w:rPr>
            <w:instrText xml:space="preserve"> PAGEREF _Toc10393 \h </w:instrText>
          </w:r>
          <w:r>
            <w:rPr>
              <w:rFonts w:hint="eastAsia"/>
              <w:b/>
              <w:bCs/>
              <w:sz w:val="24"/>
            </w:rPr>
            <w:fldChar w:fldCharType="separate"/>
          </w:r>
          <w:r>
            <w:rPr>
              <w:rFonts w:hint="eastAsia"/>
              <w:b/>
              <w:bCs/>
              <w:sz w:val="24"/>
            </w:rPr>
            <w:t>4</w:t>
          </w:r>
          <w:r>
            <w:rPr>
              <w:rFonts w:hint="eastAsia"/>
              <w:b/>
              <w:bCs/>
              <w:sz w:val="24"/>
            </w:rPr>
            <w:fldChar w:fldCharType="end"/>
          </w:r>
          <w:r>
            <w:rPr>
              <w:rFonts w:hint="eastAsia"/>
              <w:b/>
              <w:bCs/>
              <w:sz w:val="24"/>
            </w:rPr>
            <w:fldChar w:fldCharType="end"/>
          </w:r>
        </w:p>
        <w:p>
          <w:pPr>
            <w:pStyle w:val="11"/>
            <w:adjustRightInd w:val="0"/>
            <w:snapToGrid w:val="0"/>
            <w:spacing w:line="440" w:lineRule="exact"/>
            <w:jc w:val="left"/>
            <w:rPr>
              <w:sz w:val="24"/>
            </w:rPr>
          </w:pPr>
          <w:r>
            <w:fldChar w:fldCharType="begin"/>
          </w:r>
          <w:r>
            <w:instrText xml:space="preserve"> HYPERLINK \l "_Toc19170" </w:instrText>
          </w:r>
          <w:r>
            <w:fldChar w:fldCharType="separate"/>
          </w:r>
          <w:r>
            <w:rPr>
              <w:sz w:val="24"/>
            </w:rPr>
            <w:t>一、</w:t>
          </w:r>
          <w:r>
            <w:rPr>
              <w:rFonts w:hint="eastAsia"/>
              <w:sz w:val="24"/>
            </w:rPr>
            <w:t>收入支出决算总体情况说明</w:t>
          </w:r>
          <w:r>
            <w:rPr>
              <w:rFonts w:hint="eastAsia"/>
              <w:sz w:val="24"/>
            </w:rPr>
            <w:tab/>
          </w:r>
          <w:r>
            <w:rPr>
              <w:rFonts w:hint="eastAsia"/>
              <w:sz w:val="24"/>
            </w:rPr>
            <w:fldChar w:fldCharType="begin"/>
          </w:r>
          <w:r>
            <w:rPr>
              <w:rFonts w:hint="eastAsia"/>
              <w:sz w:val="24"/>
            </w:rPr>
            <w:instrText xml:space="preserve"> PAGEREF _Toc19170 \h </w:instrText>
          </w:r>
          <w:r>
            <w:rPr>
              <w:rFonts w:hint="eastAsia"/>
              <w:sz w:val="24"/>
            </w:rPr>
            <w:fldChar w:fldCharType="separate"/>
          </w:r>
          <w:r>
            <w:rPr>
              <w:rFonts w:hint="eastAsia"/>
              <w:sz w:val="24"/>
            </w:rPr>
            <w:t>4</w:t>
          </w:r>
          <w:r>
            <w:rPr>
              <w:rFonts w:hint="eastAsia"/>
              <w:sz w:val="24"/>
            </w:rPr>
            <w:fldChar w:fldCharType="end"/>
          </w:r>
          <w:r>
            <w:rPr>
              <w:rFonts w:hint="eastAsia"/>
              <w:sz w:val="24"/>
            </w:rPr>
            <w:fldChar w:fldCharType="end"/>
          </w:r>
        </w:p>
        <w:p>
          <w:pPr>
            <w:pStyle w:val="11"/>
            <w:adjustRightInd w:val="0"/>
            <w:snapToGrid w:val="0"/>
            <w:spacing w:line="440" w:lineRule="exact"/>
            <w:jc w:val="left"/>
          </w:pPr>
          <w:r>
            <w:fldChar w:fldCharType="begin"/>
          </w:r>
          <w:r>
            <w:instrText xml:space="preserve"> HYPERLINK \l "_Toc27580" </w:instrText>
          </w:r>
          <w:r>
            <w:fldChar w:fldCharType="separate"/>
          </w:r>
          <w:r>
            <w:rPr>
              <w:rFonts w:hint="eastAsia"/>
              <w:sz w:val="24"/>
            </w:rPr>
            <w:t>二、收入决算情况说明</w:t>
          </w:r>
          <w:r>
            <w:rPr>
              <w:rFonts w:hint="eastAsia"/>
              <w:sz w:val="24"/>
            </w:rPr>
            <w:tab/>
          </w:r>
          <w:r>
            <w:rPr>
              <w:rFonts w:hint="eastAsia"/>
              <w:sz w:val="24"/>
            </w:rPr>
            <w:fldChar w:fldCharType="begin"/>
          </w:r>
          <w:r>
            <w:rPr>
              <w:rFonts w:hint="eastAsia"/>
              <w:sz w:val="24"/>
            </w:rPr>
            <w:instrText xml:space="preserve"> PAGEREF _Toc27580 \h </w:instrText>
          </w:r>
          <w:r>
            <w:rPr>
              <w:rFonts w:hint="eastAsia"/>
              <w:sz w:val="24"/>
            </w:rPr>
            <w:fldChar w:fldCharType="separate"/>
          </w:r>
          <w:r>
            <w:rPr>
              <w:rFonts w:hint="eastAsia"/>
              <w:sz w:val="24"/>
            </w:rPr>
            <w:t>5</w:t>
          </w:r>
          <w:r>
            <w:rPr>
              <w:rFonts w:hint="eastAsia"/>
              <w:sz w:val="24"/>
            </w:rPr>
            <w:fldChar w:fldCharType="end"/>
          </w:r>
          <w:r>
            <w:rPr>
              <w:rFonts w:hint="eastAsia"/>
              <w:sz w:val="24"/>
            </w:rPr>
            <w:fldChar w:fldCharType="end"/>
          </w:r>
        </w:p>
        <w:p>
          <w:pPr>
            <w:pStyle w:val="32"/>
            <w:tabs>
              <w:tab w:val="right" w:leader="dot" w:pos="8306"/>
            </w:tabs>
            <w:ind w:left="420"/>
            <w:rPr>
              <w:sz w:val="24"/>
            </w:rPr>
          </w:pPr>
          <w:r>
            <w:fldChar w:fldCharType="begin"/>
          </w:r>
          <w:r>
            <w:instrText xml:space="preserve"> HYPERLINK \l "_Toc32536" </w:instrText>
          </w:r>
          <w:r>
            <w:fldChar w:fldCharType="separate"/>
          </w:r>
          <w:r>
            <w:rPr>
              <w:rFonts w:hint="eastAsia"/>
              <w:sz w:val="24"/>
            </w:rPr>
            <w:t>三、支出决算情况说明</w:t>
          </w:r>
          <w:r>
            <w:rPr>
              <w:rFonts w:hint="eastAsia"/>
              <w:sz w:val="24"/>
            </w:rPr>
            <w:tab/>
          </w:r>
          <w:r>
            <w:rPr>
              <w:rFonts w:hint="eastAsia"/>
              <w:sz w:val="24"/>
            </w:rPr>
            <w:fldChar w:fldCharType="begin"/>
          </w:r>
          <w:r>
            <w:rPr>
              <w:rFonts w:hint="eastAsia"/>
              <w:sz w:val="24"/>
            </w:rPr>
            <w:instrText xml:space="preserve"> PAGEREF _Toc32536 \h </w:instrText>
          </w:r>
          <w:r>
            <w:rPr>
              <w:rFonts w:hint="eastAsia"/>
              <w:sz w:val="24"/>
            </w:rPr>
            <w:fldChar w:fldCharType="separate"/>
          </w:r>
          <w:r>
            <w:rPr>
              <w:rFonts w:hint="eastAsia"/>
              <w:sz w:val="24"/>
            </w:rPr>
            <w:t>6</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"_Toc2991" </w:instrText>
          </w:r>
          <w:r>
            <w:fldChar w:fldCharType="separate"/>
          </w:r>
          <w:r>
            <w:rPr>
              <w:rFonts w:hint="eastAsia"/>
              <w:sz w:val="24"/>
            </w:rPr>
            <w:t>四、财政拨款收入支出决算总体情况说明</w:t>
          </w:r>
          <w:r>
            <w:rPr>
              <w:rFonts w:hint="eastAsia"/>
              <w:sz w:val="24"/>
            </w:rPr>
            <w:tab/>
          </w:r>
          <w:r>
            <w:rPr>
              <w:rFonts w:hint="eastAsia"/>
              <w:sz w:val="24"/>
            </w:rPr>
            <w:fldChar w:fldCharType="begin"/>
          </w:r>
          <w:r>
            <w:rPr>
              <w:rFonts w:hint="eastAsia"/>
              <w:sz w:val="24"/>
            </w:rPr>
            <w:instrText xml:space="preserve"> PAGEREF _Toc2991 \h </w:instrText>
          </w:r>
          <w:r>
            <w:rPr>
              <w:rFonts w:hint="eastAsia"/>
              <w:sz w:val="24"/>
            </w:rPr>
            <w:fldChar w:fldCharType="separate"/>
          </w:r>
          <w:r>
            <w:rPr>
              <w:rFonts w:hint="eastAsia"/>
              <w:sz w:val="24"/>
            </w:rPr>
            <w:t>7</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"_Toc1160" </w:instrText>
          </w:r>
          <w:r>
            <w:fldChar w:fldCharType="separate"/>
          </w:r>
          <w:r>
            <w:rPr>
              <w:rFonts w:hint="eastAsia"/>
              <w:sz w:val="24"/>
            </w:rPr>
            <w:t>五、一般公共预算财政拨款支出决算情况说明</w:t>
          </w:r>
          <w:r>
            <w:rPr>
              <w:rFonts w:hint="eastAsia"/>
              <w:sz w:val="24"/>
            </w:rPr>
            <w:tab/>
          </w:r>
          <w:r>
            <w:rPr>
              <w:rFonts w:hint="eastAsia"/>
              <w:sz w:val="24"/>
            </w:rPr>
            <w:fldChar w:fldCharType="begin"/>
          </w:r>
          <w:r>
            <w:rPr>
              <w:rFonts w:hint="eastAsia"/>
              <w:sz w:val="24"/>
            </w:rPr>
            <w:instrText xml:space="preserve"> PAGEREF _Toc1160 \h </w:instrText>
          </w:r>
          <w:r>
            <w:rPr>
              <w:rFonts w:hint="eastAsia"/>
              <w:sz w:val="24"/>
            </w:rPr>
            <w:fldChar w:fldCharType="separate"/>
          </w:r>
          <w:r>
            <w:rPr>
              <w:rFonts w:hint="eastAsia"/>
              <w:sz w:val="24"/>
            </w:rPr>
            <w:t>8</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"_Toc30738" </w:instrText>
          </w:r>
          <w:r>
            <w:fldChar w:fldCharType="separate"/>
          </w:r>
          <w:r>
            <w:rPr>
              <w:rFonts w:hint="eastAsia"/>
              <w:sz w:val="24"/>
            </w:rPr>
            <w:t>六、一般公共预算财政拨款基本支出决算情况说明</w:t>
          </w:r>
          <w:r>
            <w:rPr>
              <w:rFonts w:hint="eastAsia"/>
              <w:sz w:val="24"/>
            </w:rPr>
            <w:tab/>
          </w:r>
          <w:r>
            <w:rPr>
              <w:rFonts w:hint="eastAsia"/>
              <w:sz w:val="24"/>
            </w:rPr>
            <w:fldChar w:fldCharType="begin"/>
          </w:r>
          <w:r>
            <w:rPr>
              <w:rFonts w:hint="eastAsia"/>
              <w:sz w:val="24"/>
            </w:rPr>
            <w:instrText xml:space="preserve"> PAGEREF _Toc30738 \h </w:instrText>
          </w:r>
          <w:r>
            <w:rPr>
              <w:rFonts w:hint="eastAsia"/>
              <w:sz w:val="24"/>
            </w:rPr>
            <w:fldChar w:fldCharType="separate"/>
          </w:r>
          <w:r>
            <w:rPr>
              <w:rFonts w:hint="eastAsia"/>
              <w:sz w:val="24"/>
            </w:rPr>
            <w:t>11</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"_Toc18960" </w:instrText>
          </w:r>
          <w:r>
            <w:fldChar w:fldCharType="separate"/>
          </w:r>
          <w:r>
            <w:rPr>
              <w:rFonts w:hint="eastAsia"/>
              <w:sz w:val="24"/>
            </w:rPr>
            <w:t>七、财政拨款“三公”经费支出决算情况说明</w:t>
          </w:r>
          <w:r>
            <w:rPr>
              <w:rFonts w:hint="eastAsia"/>
              <w:sz w:val="24"/>
            </w:rPr>
            <w:tab/>
          </w:r>
          <w:r>
            <w:rPr>
              <w:rFonts w:hint="eastAsia"/>
              <w:sz w:val="24"/>
            </w:rPr>
            <w:fldChar w:fldCharType="begin"/>
          </w:r>
          <w:r>
            <w:rPr>
              <w:rFonts w:hint="eastAsia"/>
              <w:sz w:val="24"/>
            </w:rPr>
            <w:instrText xml:space="preserve"> PAGEREF _Toc18960 \h </w:instrText>
          </w:r>
          <w:r>
            <w:rPr>
              <w:rFonts w:hint="eastAsia"/>
              <w:sz w:val="24"/>
            </w:rPr>
            <w:fldChar w:fldCharType="separate"/>
          </w:r>
          <w:r>
            <w:rPr>
              <w:rFonts w:hint="eastAsia"/>
              <w:sz w:val="24"/>
            </w:rPr>
            <w:t>12</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"_Toc30865" </w:instrText>
          </w:r>
          <w:r>
            <w:fldChar w:fldCharType="separate"/>
          </w:r>
          <w:r>
            <w:rPr>
              <w:rFonts w:hint="eastAsia"/>
              <w:sz w:val="24"/>
            </w:rPr>
            <w:t>八、政府性基金预算支出决算情况说明</w:t>
          </w:r>
          <w:r>
            <w:rPr>
              <w:rFonts w:hint="eastAsia"/>
              <w:sz w:val="24"/>
            </w:rPr>
            <w:tab/>
          </w:r>
          <w:r>
            <w:rPr>
              <w:rFonts w:hint="eastAsia"/>
              <w:sz w:val="24"/>
            </w:rPr>
            <w:fldChar w:fldCharType="begin"/>
          </w:r>
          <w:r>
            <w:rPr>
              <w:rFonts w:hint="eastAsia"/>
              <w:sz w:val="24"/>
            </w:rPr>
            <w:instrText xml:space="preserve"> PAGEREF _Toc30865 \h </w:instrText>
          </w:r>
          <w:r>
            <w:rPr>
              <w:rFonts w:hint="eastAsia"/>
              <w:sz w:val="24"/>
            </w:rPr>
            <w:fldChar w:fldCharType="separate"/>
          </w:r>
          <w:r>
            <w:rPr>
              <w:rFonts w:hint="eastAsia"/>
              <w:sz w:val="24"/>
            </w:rPr>
            <w:t>14</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"_Toc28556" </w:instrText>
          </w:r>
          <w:r>
            <w:fldChar w:fldCharType="separate"/>
          </w:r>
          <w:r>
            <w:rPr>
              <w:rFonts w:hint="eastAsia"/>
              <w:sz w:val="24"/>
            </w:rPr>
            <w:t>九、国有资本经营预算支出决算情况说明</w:t>
          </w:r>
          <w:r>
            <w:rPr>
              <w:rFonts w:hint="eastAsia"/>
              <w:sz w:val="24"/>
            </w:rPr>
            <w:tab/>
          </w:r>
          <w:r>
            <w:rPr>
              <w:rFonts w:hint="eastAsia"/>
              <w:sz w:val="24"/>
            </w:rPr>
            <w:fldChar w:fldCharType="begin"/>
          </w:r>
          <w:r>
            <w:rPr>
              <w:rFonts w:hint="eastAsia"/>
              <w:sz w:val="24"/>
            </w:rPr>
            <w:instrText xml:space="preserve"> PAGEREF _Toc28556 \h </w:instrText>
          </w:r>
          <w:r>
            <w:rPr>
              <w:rFonts w:hint="eastAsia"/>
              <w:sz w:val="24"/>
            </w:rPr>
            <w:fldChar w:fldCharType="separate"/>
          </w:r>
          <w:r>
            <w:rPr>
              <w:rFonts w:hint="eastAsia"/>
              <w:sz w:val="24"/>
            </w:rPr>
            <w:t>14</w:t>
          </w:r>
          <w:r>
            <w:rPr>
              <w:rFonts w:hint="eastAsia"/>
              <w:sz w:val="24"/>
            </w:rPr>
            <w:fldChar w:fldCharType="end"/>
          </w:r>
          <w:r>
            <w:rPr>
              <w:rFonts w:hint="eastAsia"/>
              <w:sz w:val="24"/>
            </w:rPr>
            <w:fldChar w:fldCharType="end"/>
          </w:r>
        </w:p>
        <w:p>
          <w:pPr>
            <w:pStyle w:val="11"/>
            <w:adjustRightInd w:val="0"/>
            <w:snapToGrid w:val="0"/>
            <w:spacing w:line="440" w:lineRule="exact"/>
            <w:jc w:val="left"/>
          </w:pPr>
          <w:r>
            <w:fldChar w:fldCharType="begin"/>
          </w:r>
          <w:r>
            <w:instrText xml:space="preserve"> HYPERLINK \l "_Toc29520" </w:instrText>
          </w:r>
          <w:r>
            <w:fldChar w:fldCharType="separate"/>
          </w:r>
          <w:r>
            <w:rPr>
              <w:rFonts w:hint="eastAsia"/>
              <w:sz w:val="24"/>
            </w:rPr>
            <w:t>十、其他重要事项的情况说明</w:t>
          </w:r>
          <w:r>
            <w:rPr>
              <w:rFonts w:hint="eastAsia"/>
              <w:sz w:val="24"/>
            </w:rPr>
            <w:tab/>
          </w:r>
          <w:r>
            <w:rPr>
              <w:rFonts w:hint="eastAsia"/>
              <w:sz w:val="24"/>
            </w:rPr>
            <w:fldChar w:fldCharType="begin"/>
          </w:r>
          <w:r>
            <w:rPr>
              <w:rFonts w:hint="eastAsia"/>
              <w:sz w:val="24"/>
            </w:rPr>
            <w:instrText xml:space="preserve"> PAGEREF _Toc29520 \h </w:instrText>
          </w:r>
          <w:r>
            <w:rPr>
              <w:rFonts w:hint="eastAsia"/>
              <w:sz w:val="24"/>
            </w:rPr>
            <w:fldChar w:fldCharType="separate"/>
          </w:r>
          <w:r>
            <w:rPr>
              <w:rFonts w:hint="eastAsia"/>
              <w:sz w:val="24"/>
            </w:rPr>
            <w:t>14</w:t>
          </w:r>
          <w:r>
            <w:rPr>
              <w:rFonts w:hint="eastAsia"/>
              <w:sz w:val="24"/>
            </w:rPr>
            <w:fldChar w:fldCharType="end"/>
          </w:r>
          <w:r>
            <w:rPr>
              <w:rFonts w:hint="eastAsia"/>
              <w:sz w:val="24"/>
            </w:rPr>
            <w:fldChar w:fldCharType="end"/>
          </w:r>
        </w:p>
        <w:p>
          <w:pPr>
            <w:pStyle w:val="10"/>
            <w:adjustRightInd w:val="0"/>
            <w:snapToGrid w:val="0"/>
            <w:spacing w:before="0" w:line="440" w:lineRule="exact"/>
            <w:jc w:val="left"/>
            <w:outlineLvl w:val="0"/>
            <w:rPr>
              <w:b/>
              <w:bCs/>
              <w:sz w:val="24"/>
            </w:rPr>
          </w:pPr>
          <w:r>
            <w:fldChar w:fldCharType="begin"/>
          </w:r>
          <w:r>
            <w:instrText xml:space="preserve"> HYPERLINK \l "_Toc7509" </w:instrText>
          </w:r>
          <w:r>
            <w:fldChar w:fldCharType="separate"/>
          </w:r>
          <w:r>
            <w:rPr>
              <w:rFonts w:hint="eastAsia"/>
              <w:b/>
              <w:bCs/>
              <w:sz w:val="24"/>
            </w:rPr>
            <w:t>第三部分 名词解释</w:t>
          </w:r>
          <w:r>
            <w:rPr>
              <w:rFonts w:hint="eastAsia"/>
              <w:b/>
              <w:bCs/>
              <w:sz w:val="24"/>
            </w:rPr>
            <w:tab/>
          </w:r>
          <w:r>
            <w:rPr>
              <w:rFonts w:hint="eastAsia"/>
              <w:b/>
              <w:bCs/>
              <w:sz w:val="24"/>
            </w:rPr>
            <w:fldChar w:fldCharType="begin"/>
          </w:r>
          <w:r>
            <w:rPr>
              <w:rFonts w:hint="eastAsia"/>
              <w:b/>
              <w:bCs/>
              <w:sz w:val="24"/>
            </w:rPr>
            <w:instrText xml:space="preserve"> PAGEREF _Toc7509 \h </w:instrText>
          </w:r>
          <w:r>
            <w:rPr>
              <w:rFonts w:hint="eastAsia"/>
              <w:b/>
              <w:bCs/>
              <w:sz w:val="24"/>
            </w:rPr>
            <w:fldChar w:fldCharType="separate"/>
          </w:r>
          <w:r>
            <w:rPr>
              <w:rFonts w:hint="eastAsia"/>
              <w:b/>
              <w:bCs/>
              <w:sz w:val="24"/>
            </w:rPr>
            <w:t>16</w:t>
          </w:r>
          <w:r>
            <w:rPr>
              <w:rFonts w:hint="eastAsia"/>
              <w:b/>
              <w:bCs/>
              <w:sz w:val="24"/>
            </w:rPr>
            <w:fldChar w:fldCharType="end"/>
          </w:r>
          <w:r>
            <w:rPr>
              <w:rFonts w:hint="eastAsia"/>
              <w:b/>
              <w:bCs/>
              <w:sz w:val="24"/>
            </w:rPr>
            <w:fldChar w:fldCharType="end"/>
          </w:r>
        </w:p>
        <w:p>
          <w:pPr>
            <w:pStyle w:val="10"/>
            <w:adjustRightInd w:val="0"/>
            <w:snapToGrid w:val="0"/>
            <w:spacing w:before="0" w:line="440" w:lineRule="exact"/>
            <w:jc w:val="left"/>
            <w:outlineLvl w:val="0"/>
            <w:rPr>
              <w:sz w:val="24"/>
            </w:rPr>
          </w:pPr>
          <w:r>
            <w:fldChar w:fldCharType="begin"/>
          </w:r>
          <w:r>
            <w:instrText xml:space="preserve"> HYPERLINK \l "_Toc28932" </w:instrText>
          </w:r>
          <w:r>
            <w:fldChar w:fldCharType="separate"/>
          </w:r>
          <w:r>
            <w:rPr>
              <w:rFonts w:hint="eastAsia"/>
              <w:b/>
              <w:bCs/>
              <w:sz w:val="24"/>
            </w:rPr>
            <w:t>第四部分 附件</w:t>
          </w:r>
          <w:r>
            <w:rPr>
              <w:rFonts w:hint="eastAsia"/>
              <w:b/>
              <w:bCs/>
              <w:sz w:val="24"/>
            </w:rPr>
            <w:tab/>
          </w:r>
          <w:r>
            <w:rPr>
              <w:rFonts w:hint="eastAsia"/>
              <w:b/>
              <w:bCs/>
              <w:sz w:val="24"/>
            </w:rPr>
            <w:fldChar w:fldCharType="begin"/>
          </w:r>
          <w:r>
            <w:rPr>
              <w:rFonts w:hint="eastAsia"/>
              <w:b/>
              <w:bCs/>
              <w:sz w:val="24"/>
            </w:rPr>
            <w:instrText xml:space="preserve"> PAGEREF _Toc28932 \h </w:instrText>
          </w:r>
          <w:r>
            <w:rPr>
              <w:rFonts w:hint="eastAsia"/>
              <w:b/>
              <w:bCs/>
              <w:sz w:val="24"/>
            </w:rPr>
            <w:fldChar w:fldCharType="separate"/>
          </w:r>
          <w:r>
            <w:rPr>
              <w:rFonts w:hint="eastAsia"/>
              <w:b/>
              <w:bCs/>
              <w:sz w:val="24"/>
            </w:rPr>
            <w:t>20</w:t>
          </w:r>
          <w:r>
            <w:rPr>
              <w:rFonts w:hint="eastAsia"/>
              <w:b/>
              <w:bCs/>
              <w:sz w:val="24"/>
            </w:rPr>
            <w:fldChar w:fldCharType="end"/>
          </w:r>
          <w:r>
            <w:rPr>
              <w:rFonts w:hint="eastAsia"/>
              <w:b/>
              <w:bCs/>
              <w:sz w:val="24"/>
            </w:rPr>
            <w:fldChar w:fldCharType="end"/>
          </w:r>
        </w:p>
        <w:p>
          <w:pPr>
            <w:pStyle w:val="10"/>
            <w:adjustRightInd w:val="0"/>
            <w:snapToGrid w:val="0"/>
            <w:spacing w:before="0" w:line="440" w:lineRule="exact"/>
            <w:jc w:val="left"/>
            <w:outlineLvl w:val="0"/>
            <w:rPr>
              <w:b/>
              <w:bCs/>
              <w:sz w:val="24"/>
            </w:rPr>
          </w:pPr>
          <w:r>
            <w:fldChar w:fldCharType="begin"/>
          </w:r>
          <w:r>
            <w:instrText xml:space="preserve"> HYPERLINK \l "_Toc6592" </w:instrText>
          </w:r>
          <w:r>
            <w:fldChar w:fldCharType="separate"/>
          </w:r>
          <w:r>
            <w:rPr>
              <w:rFonts w:hint="eastAsia"/>
              <w:b/>
              <w:bCs/>
              <w:sz w:val="24"/>
            </w:rPr>
            <w:t>第五部分 附表</w:t>
          </w:r>
          <w:r>
            <w:rPr>
              <w:rFonts w:hint="eastAsia"/>
              <w:b/>
              <w:bCs/>
              <w:sz w:val="24"/>
            </w:rPr>
            <w:tab/>
          </w:r>
          <w:r>
            <w:rPr>
              <w:rFonts w:hint="eastAsia"/>
              <w:b/>
              <w:bCs/>
              <w:sz w:val="24"/>
            </w:rPr>
            <w:fldChar w:fldCharType="begin"/>
          </w:r>
          <w:r>
            <w:rPr>
              <w:rFonts w:hint="eastAsia"/>
              <w:b/>
              <w:bCs/>
              <w:sz w:val="24"/>
            </w:rPr>
            <w:instrText xml:space="preserve"> PAGEREF _Toc6592 \h </w:instrText>
          </w:r>
          <w:r>
            <w:rPr>
              <w:rFonts w:hint="eastAsia"/>
              <w:b/>
              <w:bCs/>
              <w:sz w:val="24"/>
            </w:rPr>
            <w:fldChar w:fldCharType="separate"/>
          </w:r>
          <w:r>
            <w:rPr>
              <w:rFonts w:hint="eastAsia"/>
              <w:b/>
              <w:bCs/>
              <w:sz w:val="24"/>
            </w:rPr>
            <w:t>21</w:t>
          </w:r>
          <w:r>
            <w:rPr>
              <w:rFonts w:hint="eastAsia"/>
              <w:b/>
              <w:bCs/>
              <w:sz w:val="24"/>
            </w:rPr>
            <w:fldChar w:fldCharType="end"/>
          </w:r>
          <w:r>
            <w:rPr>
              <w:rFonts w:hint="eastAsia"/>
              <w:b/>
              <w:bCs/>
              <w:sz w:val="24"/>
            </w:rPr>
            <w:fldChar w:fldCharType="end"/>
          </w:r>
        </w:p>
        <w:p>
          <w:pPr>
            <w:pStyle w:val="11"/>
            <w:adjustRightInd w:val="0"/>
            <w:snapToGrid w:val="0"/>
            <w:spacing w:line="440" w:lineRule="exact"/>
            <w:jc w:val="left"/>
            <w:rPr>
              <w:sz w:val="24"/>
            </w:rPr>
          </w:pPr>
          <w:r>
            <w:fldChar w:fldCharType="begin"/>
          </w:r>
          <w:r>
            <w:instrText xml:space="preserve"> HYPERLINK \l "_Toc30671" </w:instrText>
          </w:r>
          <w:r>
            <w:fldChar w:fldCharType="separate"/>
          </w:r>
          <w:r>
            <w:rPr>
              <w:rFonts w:hint="eastAsia"/>
              <w:sz w:val="24"/>
            </w:rPr>
            <w:t>一、收入支出决算总表</w:t>
          </w:r>
          <w:r>
            <w:rPr>
              <w:rFonts w:hint="eastAsia"/>
              <w:sz w:val="24"/>
            </w:rPr>
            <w:tab/>
          </w:r>
          <w:r>
            <w:rPr>
              <w:rFonts w:hint="eastAsia"/>
              <w:sz w:val="24"/>
            </w:rPr>
            <w:fldChar w:fldCharType="begin"/>
          </w:r>
          <w:r>
            <w:rPr>
              <w:rFonts w:hint="eastAsia"/>
              <w:sz w:val="24"/>
            </w:rPr>
            <w:instrText xml:space="preserve"> PAGEREF _Toc30671 \h </w:instrText>
          </w:r>
          <w:r>
            <w:rPr>
              <w:rFonts w:hint="eastAsia"/>
              <w:sz w:val="24"/>
            </w:rPr>
            <w:fldChar w:fldCharType="separate"/>
          </w:r>
          <w:r>
            <w:rPr>
              <w:rFonts w:hint="eastAsia"/>
              <w:sz w:val="24"/>
            </w:rPr>
            <w:t>21</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"_Toc7552" </w:instrText>
          </w:r>
          <w:r>
            <w:fldChar w:fldCharType="separate"/>
          </w:r>
          <w:r>
            <w:rPr>
              <w:rFonts w:hint="eastAsia"/>
              <w:sz w:val="24"/>
            </w:rPr>
            <w:t>二、收入决算表</w:t>
          </w:r>
          <w:r>
            <w:rPr>
              <w:rFonts w:hint="eastAsia"/>
              <w:sz w:val="24"/>
            </w:rPr>
            <w:tab/>
          </w:r>
          <w:r>
            <w:rPr>
              <w:rFonts w:hint="eastAsia"/>
              <w:sz w:val="24"/>
            </w:rPr>
            <w:fldChar w:fldCharType="begin"/>
          </w:r>
          <w:r>
            <w:rPr>
              <w:rFonts w:hint="eastAsia"/>
              <w:sz w:val="24"/>
            </w:rPr>
            <w:instrText xml:space="preserve"> PAGEREF _Toc7552 \h </w:instrText>
          </w:r>
          <w:r>
            <w:rPr>
              <w:rFonts w:hint="eastAsia"/>
              <w:sz w:val="24"/>
            </w:rPr>
            <w:fldChar w:fldCharType="separate"/>
          </w:r>
          <w:r>
            <w:rPr>
              <w:rFonts w:hint="eastAsia"/>
              <w:sz w:val="24"/>
            </w:rPr>
            <w:t>21</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"_Toc17094" </w:instrText>
          </w:r>
          <w:r>
            <w:fldChar w:fldCharType="separate"/>
          </w:r>
          <w:r>
            <w:rPr>
              <w:rFonts w:hint="eastAsia"/>
              <w:sz w:val="24"/>
            </w:rPr>
            <w:t>三、支出决算表</w:t>
          </w:r>
          <w:r>
            <w:rPr>
              <w:rFonts w:hint="eastAsia"/>
              <w:sz w:val="24"/>
            </w:rPr>
            <w:tab/>
          </w:r>
          <w:r>
            <w:rPr>
              <w:rFonts w:hint="eastAsia"/>
              <w:sz w:val="24"/>
            </w:rPr>
            <w:fldChar w:fldCharType="begin"/>
          </w:r>
          <w:r>
            <w:rPr>
              <w:rFonts w:hint="eastAsia"/>
              <w:sz w:val="24"/>
            </w:rPr>
            <w:instrText xml:space="preserve"> PAGEREF _Toc17094 \h </w:instrText>
          </w:r>
          <w:r>
            <w:rPr>
              <w:rFonts w:hint="eastAsia"/>
              <w:sz w:val="24"/>
            </w:rPr>
            <w:fldChar w:fldCharType="separate"/>
          </w:r>
          <w:r>
            <w:rPr>
              <w:rFonts w:hint="eastAsia"/>
              <w:sz w:val="24"/>
            </w:rPr>
            <w:t>21</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"_Toc19991" </w:instrText>
          </w:r>
          <w:r>
            <w:fldChar w:fldCharType="separate"/>
          </w:r>
          <w:r>
            <w:rPr>
              <w:rFonts w:hint="eastAsia"/>
              <w:sz w:val="24"/>
            </w:rPr>
            <w:t>四、财政拨款收入支出决算总表</w:t>
          </w:r>
          <w:r>
            <w:rPr>
              <w:rFonts w:hint="eastAsia"/>
              <w:sz w:val="24"/>
            </w:rPr>
            <w:tab/>
          </w:r>
          <w:r>
            <w:rPr>
              <w:rFonts w:hint="eastAsia"/>
              <w:sz w:val="24"/>
            </w:rPr>
            <w:fldChar w:fldCharType="begin"/>
          </w:r>
          <w:r>
            <w:rPr>
              <w:rFonts w:hint="eastAsia"/>
              <w:sz w:val="24"/>
            </w:rPr>
            <w:instrText xml:space="preserve"> PAGEREF _Toc19991 \h </w:instrText>
          </w:r>
          <w:r>
            <w:rPr>
              <w:rFonts w:hint="eastAsia"/>
              <w:sz w:val="24"/>
            </w:rPr>
            <w:fldChar w:fldCharType="separate"/>
          </w:r>
          <w:r>
            <w:rPr>
              <w:rFonts w:hint="eastAsia"/>
              <w:sz w:val="24"/>
            </w:rPr>
            <w:t>21</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"_Toc16427" </w:instrText>
          </w:r>
          <w:r>
            <w:fldChar w:fldCharType="separate"/>
          </w:r>
          <w:r>
            <w:rPr>
              <w:rFonts w:hint="eastAsia"/>
              <w:sz w:val="24"/>
            </w:rPr>
            <w:t>五、财政拨款支出决算明细表</w:t>
          </w:r>
          <w:r>
            <w:rPr>
              <w:rFonts w:hint="eastAsia"/>
              <w:sz w:val="24"/>
            </w:rPr>
            <w:tab/>
          </w:r>
          <w:r>
            <w:rPr>
              <w:rFonts w:hint="eastAsia"/>
              <w:sz w:val="24"/>
            </w:rPr>
            <w:fldChar w:fldCharType="begin"/>
          </w:r>
          <w:r>
            <w:rPr>
              <w:rFonts w:hint="eastAsia"/>
              <w:sz w:val="24"/>
            </w:rPr>
            <w:instrText xml:space="preserve"> PAGEREF _Toc16427 \h </w:instrText>
          </w:r>
          <w:r>
            <w:rPr>
              <w:rFonts w:hint="eastAsia"/>
              <w:sz w:val="24"/>
            </w:rPr>
            <w:fldChar w:fldCharType="separate"/>
          </w:r>
          <w:r>
            <w:rPr>
              <w:rFonts w:hint="eastAsia"/>
              <w:sz w:val="24"/>
            </w:rPr>
            <w:t>21</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"_Toc23941" </w:instrText>
          </w:r>
          <w:r>
            <w:fldChar w:fldCharType="separate"/>
          </w:r>
          <w:r>
            <w:rPr>
              <w:rFonts w:hint="eastAsia"/>
              <w:sz w:val="24"/>
            </w:rPr>
            <w:t>六、一般公共预算财政拨款支出决算表</w:t>
          </w:r>
          <w:r>
            <w:rPr>
              <w:rFonts w:hint="eastAsia"/>
              <w:sz w:val="24"/>
            </w:rPr>
            <w:tab/>
          </w:r>
          <w:r>
            <w:rPr>
              <w:rFonts w:hint="eastAsia"/>
              <w:sz w:val="24"/>
            </w:rPr>
            <w:fldChar w:fldCharType="begin"/>
          </w:r>
          <w:r>
            <w:rPr>
              <w:rFonts w:hint="eastAsia"/>
              <w:sz w:val="24"/>
            </w:rPr>
            <w:instrText xml:space="preserve"> PAGEREF _Toc23941 \h </w:instrText>
          </w:r>
          <w:r>
            <w:rPr>
              <w:rFonts w:hint="eastAsia"/>
              <w:sz w:val="24"/>
            </w:rPr>
            <w:fldChar w:fldCharType="separate"/>
          </w:r>
          <w:r>
            <w:rPr>
              <w:rFonts w:hint="eastAsia"/>
              <w:sz w:val="24"/>
            </w:rPr>
            <w:t>21</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"_Toc23458" </w:instrText>
          </w:r>
          <w:r>
            <w:fldChar w:fldCharType="separate"/>
          </w:r>
          <w:r>
            <w:rPr>
              <w:rFonts w:hint="eastAsia"/>
              <w:sz w:val="24"/>
            </w:rPr>
            <w:t>七、一般公共预算财政拨款支出决算明细表</w:t>
          </w:r>
          <w:r>
            <w:rPr>
              <w:rFonts w:hint="eastAsia"/>
              <w:sz w:val="24"/>
            </w:rPr>
            <w:tab/>
          </w:r>
          <w:r>
            <w:rPr>
              <w:rFonts w:hint="eastAsia"/>
              <w:sz w:val="24"/>
            </w:rPr>
            <w:fldChar w:fldCharType="begin"/>
          </w:r>
          <w:r>
            <w:rPr>
              <w:rFonts w:hint="eastAsia"/>
              <w:sz w:val="24"/>
            </w:rPr>
            <w:instrText xml:space="preserve"> PAGEREF _Toc23458 \h </w:instrText>
          </w:r>
          <w:r>
            <w:rPr>
              <w:rFonts w:hint="eastAsia"/>
              <w:sz w:val="24"/>
            </w:rPr>
            <w:fldChar w:fldCharType="separate"/>
          </w:r>
          <w:r>
            <w:rPr>
              <w:rFonts w:hint="eastAsia"/>
              <w:sz w:val="24"/>
            </w:rPr>
            <w:t>21</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"_Toc3070" </w:instrText>
          </w:r>
          <w:r>
            <w:fldChar w:fldCharType="separate"/>
          </w:r>
          <w:r>
            <w:rPr>
              <w:rFonts w:hint="eastAsia"/>
              <w:sz w:val="24"/>
            </w:rPr>
            <w:t>八、一般公共预算财政拨款基本支出决算表</w:t>
          </w:r>
          <w:r>
            <w:rPr>
              <w:rFonts w:hint="eastAsia"/>
              <w:sz w:val="24"/>
            </w:rPr>
            <w:tab/>
          </w:r>
          <w:r>
            <w:rPr>
              <w:rFonts w:hint="eastAsia"/>
              <w:sz w:val="24"/>
            </w:rPr>
            <w:fldChar w:fldCharType="begin"/>
          </w:r>
          <w:r>
            <w:rPr>
              <w:rFonts w:hint="eastAsia"/>
              <w:sz w:val="24"/>
            </w:rPr>
            <w:instrText xml:space="preserve"> PAGEREF _Toc3070 \h </w:instrText>
          </w:r>
          <w:r>
            <w:rPr>
              <w:rFonts w:hint="eastAsia"/>
              <w:sz w:val="24"/>
            </w:rPr>
            <w:fldChar w:fldCharType="separate"/>
          </w:r>
          <w:r>
            <w:rPr>
              <w:rFonts w:hint="eastAsia"/>
              <w:sz w:val="24"/>
            </w:rPr>
            <w:t>21</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"_Toc13119" </w:instrText>
          </w:r>
          <w:r>
            <w:fldChar w:fldCharType="separate"/>
          </w:r>
          <w:r>
            <w:rPr>
              <w:rFonts w:hint="eastAsia"/>
              <w:sz w:val="24"/>
            </w:rPr>
            <w:t>九、一般公共预算财政拨款项目支出决算表</w:t>
          </w:r>
          <w:r>
            <w:rPr>
              <w:rFonts w:hint="eastAsia"/>
              <w:sz w:val="24"/>
            </w:rPr>
            <w:tab/>
          </w:r>
          <w:r>
            <w:rPr>
              <w:rFonts w:hint="eastAsia"/>
              <w:sz w:val="24"/>
            </w:rPr>
            <w:fldChar w:fldCharType="begin"/>
          </w:r>
          <w:r>
            <w:rPr>
              <w:rFonts w:hint="eastAsia"/>
              <w:sz w:val="24"/>
            </w:rPr>
            <w:instrText xml:space="preserve"> PAGEREF _Toc13119 \h </w:instrText>
          </w:r>
          <w:r>
            <w:rPr>
              <w:rFonts w:hint="eastAsia"/>
              <w:sz w:val="24"/>
            </w:rPr>
            <w:fldChar w:fldCharType="separate"/>
          </w:r>
          <w:r>
            <w:rPr>
              <w:rFonts w:hint="eastAsia"/>
              <w:sz w:val="24"/>
            </w:rPr>
            <w:t>21</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"_Toc11051" </w:instrText>
          </w:r>
          <w:r>
            <w:fldChar w:fldCharType="separate"/>
          </w:r>
          <w:r>
            <w:rPr>
              <w:rFonts w:hint="eastAsia"/>
              <w:sz w:val="24"/>
            </w:rPr>
            <w:t>十、政府性基金预算财政拨款收入支出决算表</w:t>
          </w:r>
          <w:r>
            <w:rPr>
              <w:rFonts w:hint="eastAsia"/>
              <w:sz w:val="24"/>
            </w:rPr>
            <w:tab/>
          </w:r>
          <w:r>
            <w:rPr>
              <w:rFonts w:hint="eastAsia"/>
              <w:sz w:val="24"/>
            </w:rPr>
            <w:fldChar w:fldCharType="begin"/>
          </w:r>
          <w:r>
            <w:rPr>
              <w:rFonts w:hint="eastAsia"/>
              <w:sz w:val="24"/>
            </w:rPr>
            <w:instrText xml:space="preserve"> PAGEREF _Toc11051 \h </w:instrText>
          </w:r>
          <w:r>
            <w:rPr>
              <w:rFonts w:hint="eastAsia"/>
              <w:sz w:val="24"/>
            </w:rPr>
            <w:fldChar w:fldCharType="separate"/>
          </w:r>
          <w:r>
            <w:rPr>
              <w:rFonts w:hint="eastAsia"/>
              <w:sz w:val="24"/>
            </w:rPr>
            <w:t>21</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"_Toc30284" </w:instrText>
          </w:r>
          <w:r>
            <w:fldChar w:fldCharType="separate"/>
          </w:r>
          <w:r>
            <w:rPr>
              <w:rFonts w:hint="eastAsia"/>
              <w:sz w:val="24"/>
            </w:rPr>
            <w:t>十一、国有资本经营预算财政拨款收入支出决算表</w:t>
          </w:r>
          <w:r>
            <w:rPr>
              <w:rFonts w:hint="eastAsia"/>
              <w:sz w:val="24"/>
            </w:rPr>
            <w:tab/>
          </w:r>
          <w:r>
            <w:rPr>
              <w:rFonts w:hint="eastAsia"/>
              <w:sz w:val="24"/>
            </w:rPr>
            <w:fldChar w:fldCharType="begin"/>
          </w:r>
          <w:r>
            <w:rPr>
              <w:rFonts w:hint="eastAsia"/>
              <w:sz w:val="24"/>
            </w:rPr>
            <w:instrText xml:space="preserve"> PAGEREF _Toc30284 \h </w:instrText>
          </w:r>
          <w:r>
            <w:rPr>
              <w:rFonts w:hint="eastAsia"/>
              <w:sz w:val="24"/>
            </w:rPr>
            <w:fldChar w:fldCharType="separate"/>
          </w:r>
          <w:r>
            <w:rPr>
              <w:rFonts w:hint="eastAsia"/>
              <w:sz w:val="24"/>
            </w:rPr>
            <w:t>21</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"_Toc18537" </w:instrText>
          </w:r>
          <w:r>
            <w:fldChar w:fldCharType="separate"/>
          </w:r>
          <w:r>
            <w:rPr>
              <w:rFonts w:hint="eastAsia"/>
              <w:sz w:val="24"/>
            </w:rPr>
            <w:t>十二、国有资本经营预算财政拨款支出决算表</w:t>
          </w:r>
          <w:r>
            <w:rPr>
              <w:rFonts w:hint="eastAsia"/>
              <w:sz w:val="24"/>
            </w:rPr>
            <w:tab/>
          </w:r>
          <w:r>
            <w:rPr>
              <w:rFonts w:hint="eastAsia"/>
              <w:sz w:val="24"/>
            </w:rPr>
            <w:fldChar w:fldCharType="begin"/>
          </w:r>
          <w:r>
            <w:rPr>
              <w:rFonts w:hint="eastAsia"/>
              <w:sz w:val="24"/>
            </w:rPr>
            <w:instrText xml:space="preserve"> PAGEREF _Toc18537 \h </w:instrText>
          </w:r>
          <w:r>
            <w:rPr>
              <w:rFonts w:hint="eastAsia"/>
              <w:sz w:val="24"/>
            </w:rPr>
            <w:fldChar w:fldCharType="separate"/>
          </w:r>
          <w:r>
            <w:rPr>
              <w:rFonts w:hint="eastAsia"/>
              <w:sz w:val="24"/>
            </w:rPr>
            <w:t>21</w:t>
          </w:r>
          <w:r>
            <w:rPr>
              <w:rFonts w:hint="eastAsia"/>
              <w:sz w:val="24"/>
            </w:rPr>
            <w:fldChar w:fldCharType="end"/>
          </w:r>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"_Toc4868" </w:instrText>
          </w:r>
          <w:r>
            <w:fldChar w:fldCharType="separate"/>
          </w:r>
          <w:r>
            <w:rPr>
              <w:rFonts w:hint="eastAsia"/>
              <w:sz w:val="24"/>
            </w:rPr>
            <w:t>十三、财政拨款“三公”经费支出决算表</w:t>
          </w:r>
          <w:r>
            <w:rPr>
              <w:rFonts w:hint="eastAsia"/>
              <w:sz w:val="24"/>
            </w:rPr>
            <w:tab/>
          </w:r>
          <w:r>
            <w:rPr>
              <w:rFonts w:hint="eastAsia"/>
              <w:sz w:val="24"/>
            </w:rPr>
            <w:fldChar w:fldCharType="begin"/>
          </w:r>
          <w:r>
            <w:rPr>
              <w:rFonts w:hint="eastAsia"/>
              <w:sz w:val="24"/>
            </w:rPr>
            <w:instrText xml:space="preserve"> PAGEREF _Toc4868 \h </w:instrText>
          </w:r>
          <w:r>
            <w:rPr>
              <w:rFonts w:hint="eastAsia"/>
              <w:sz w:val="24"/>
            </w:rPr>
            <w:fldChar w:fldCharType="separate"/>
          </w:r>
          <w:r>
            <w:rPr>
              <w:rFonts w:hint="eastAsia"/>
              <w:sz w:val="24"/>
            </w:rPr>
            <w:t>21</w:t>
          </w:r>
          <w:r>
            <w:rPr>
              <w:rFonts w:hint="eastAsia"/>
              <w:sz w:val="24"/>
            </w:rPr>
            <w:fldChar w:fldCharType="end"/>
          </w:r>
          <w:r>
            <w:rPr>
              <w:rFonts w:hint="eastAsia"/>
              <w:sz w:val="24"/>
            </w:rPr>
            <w:fldChar w:fldCharType="end"/>
          </w:r>
        </w:p>
        <w:p>
          <w:pPr>
            <w:pStyle w:val="2"/>
            <w:spacing w:before="93"/>
          </w:pPr>
          <w:r>
            <w:rPr>
              <w:b/>
            </w:rPr>
            <w:fldChar w:fldCharType="end"/>
          </w:r>
        </w:p>
      </w:sdtContent>
    </w:sdt>
    <w:p>
      <w:pPr>
        <w:pStyle w:val="3"/>
        <w:jc w:val="center"/>
      </w:pPr>
      <w:bookmarkStart w:id="15" w:name="_Toc15396599"/>
      <w:bookmarkStart w:id="16" w:name="_Toc3287"/>
      <w:bookmarkStart w:id="17" w:name="_Toc15377196"/>
    </w:p>
    <w:p>
      <w:pPr>
        <w:pStyle w:val="3"/>
        <w:jc w:val="center"/>
      </w:pPr>
    </w:p>
    <w:p>
      <w:pPr>
        <w:pStyle w:val="3"/>
        <w:jc w:val="center"/>
      </w:pPr>
    </w:p>
    <w:p>
      <w:pPr>
        <w:pStyle w:val="3"/>
        <w:jc w:val="center"/>
      </w:pPr>
    </w:p>
    <w:p>
      <w:pPr>
        <w:pStyle w:val="3"/>
        <w:jc w:val="center"/>
      </w:pPr>
    </w:p>
    <w:p/>
    <w:p>
      <w:pPr>
        <w:pStyle w:val="2"/>
        <w:spacing w:before="93"/>
      </w:pPr>
    </w:p>
    <w:p>
      <w:pPr>
        <w:pStyle w:val="2"/>
        <w:spacing w:before="93"/>
      </w:pPr>
    </w:p>
    <w:p>
      <w:pPr>
        <w:pStyle w:val="2"/>
        <w:spacing w:before="93"/>
      </w:pPr>
    </w:p>
    <w:p>
      <w:pPr>
        <w:pStyle w:val="2"/>
        <w:spacing w:before="93"/>
      </w:pPr>
    </w:p>
    <w:p>
      <w:pPr>
        <w:pStyle w:val="2"/>
        <w:spacing w:before="93"/>
      </w:pPr>
    </w:p>
    <w:p>
      <w:pPr>
        <w:pStyle w:val="3"/>
        <w:jc w:val="center"/>
      </w:pPr>
      <w:r>
        <w:rPr>
          <w:rFonts w:hint="eastAsia"/>
        </w:rPr>
        <w:t>第一部分 单位概况</w:t>
      </w:r>
      <w:bookmarkEnd w:id="15"/>
      <w:bookmarkEnd w:id="16"/>
      <w:bookmarkEnd w:id="17"/>
    </w:p>
    <w:p>
      <w:pPr>
        <w:widowControl/>
        <w:jc w:val="left"/>
        <w:rPr>
          <w:rFonts w:ascii="黑体" w:eastAsia="黑体"/>
          <w:sz w:val="32"/>
          <w:szCs w:val="32"/>
        </w:rPr>
      </w:pPr>
    </w:p>
    <w:p>
      <w:pPr>
        <w:pStyle w:val="4"/>
        <w:ind w:firstLine="643" w:firstLineChars="200"/>
      </w:pPr>
      <w:bookmarkStart w:id="18" w:name="_Toc15450"/>
      <w:bookmarkStart w:id="19" w:name="_Toc15377197"/>
      <w:bookmarkStart w:id="20" w:name="_Toc15396600"/>
      <w:r>
        <w:rPr>
          <w:rFonts w:hint="eastAsia"/>
        </w:rPr>
        <w:t>一、主要职责</w:t>
      </w:r>
      <w:bookmarkEnd w:id="18"/>
    </w:p>
    <w:p>
      <w:pPr>
        <w:spacing w:line="600" w:lineRule="exact"/>
        <w:ind w:firstLine="640" w:firstLineChars="200"/>
        <w:rPr>
          <w:rFonts w:ascii="仿宋" w:hAnsi="仿宋" w:eastAsia="仿宋"/>
          <w:sz w:val="32"/>
          <w:szCs w:val="32"/>
        </w:rPr>
      </w:pPr>
      <w:r>
        <w:rPr>
          <w:rFonts w:hint="eastAsia" w:ascii="仿宋" w:hAnsi="仿宋" w:eastAsia="仿宋"/>
          <w:sz w:val="32"/>
          <w:szCs w:val="32"/>
        </w:rPr>
        <w:t>维护军人军属合法权益，加强退役军人服务保障体系建设，建立健全集中统一、职责清晰的退役军人管理保障体制。</w:t>
      </w:r>
    </w:p>
    <w:p>
      <w:pPr>
        <w:pStyle w:val="4"/>
        <w:ind w:firstLine="643" w:firstLineChars="200"/>
      </w:pPr>
      <w:bookmarkStart w:id="21" w:name="_Toc9259"/>
      <w:r>
        <w:rPr>
          <w:rFonts w:hint="eastAsia"/>
        </w:rPr>
        <w:t>二、机构设置</w:t>
      </w:r>
      <w:bookmarkEnd w:id="19"/>
      <w:bookmarkEnd w:id="20"/>
      <w:bookmarkEnd w:id="21"/>
    </w:p>
    <w:p>
      <w:pPr>
        <w:spacing w:line="600" w:lineRule="exact"/>
        <w:ind w:firstLine="640" w:firstLineChars="200"/>
        <w:rPr>
          <w:rFonts w:ascii="仿宋" w:hAnsi="仿宋" w:eastAsia="仿宋"/>
          <w:sz w:val="32"/>
          <w:szCs w:val="32"/>
        </w:rPr>
      </w:pPr>
      <w:r>
        <w:rPr>
          <w:rFonts w:hint="eastAsia" w:ascii="仿宋" w:hAnsi="仿宋" w:eastAsia="仿宋"/>
          <w:sz w:val="32"/>
          <w:szCs w:val="32"/>
        </w:rPr>
        <w:t>攀枝花市退役军人事务局属独立核算的行政机构。内设机构5个：办公室、安置与就业创业科、优抚与褒扬纪念科、权益维护科（应急与信访科）、双拥工作科。</w:t>
      </w:r>
    </w:p>
    <w:p>
      <w:pPr>
        <w:pStyle w:val="3"/>
        <w:jc w:val="center"/>
      </w:pPr>
      <w:bookmarkStart w:id="22" w:name="_Toc15377204"/>
      <w:bookmarkStart w:id="23" w:name="_Toc15396602"/>
      <w:bookmarkStart w:id="24" w:name="_Toc10393"/>
      <w:r>
        <w:rPr>
          <w:rFonts w:hint="eastAsia"/>
        </w:rPr>
        <w:t>第二部分 2022年度单位决算情况说明</w:t>
      </w:r>
      <w:bookmarkEnd w:id="22"/>
      <w:bookmarkEnd w:id="23"/>
      <w:bookmarkEnd w:id="24"/>
    </w:p>
    <w:p/>
    <w:p>
      <w:pPr>
        <w:pStyle w:val="4"/>
        <w:numPr>
          <w:ilvl w:val="0"/>
          <w:numId w:val="1"/>
        </w:numPr>
      </w:pPr>
      <w:bookmarkStart w:id="25" w:name="_Toc15377205"/>
      <w:bookmarkStart w:id="26" w:name="_Toc15396603"/>
      <w:bookmarkStart w:id="27" w:name="_Toc19170"/>
      <w:r>
        <w:rPr>
          <w:rFonts w:hint="eastAsia"/>
        </w:rPr>
        <w:t>收入支出决算总体情况说明</w:t>
      </w:r>
      <w:bookmarkEnd w:id="25"/>
      <w:bookmarkEnd w:id="26"/>
      <w:bookmarkEnd w:id="27"/>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2022年度收、支总计6,035.50万元。与2021年相比,收入减少78.65万元，下降2.56%；支出减少67.10 万元，下降2.16%。主要变动原因：</w:t>
      </w:r>
      <w:bookmarkStart w:id="28" w:name="_Hlk113387915"/>
      <w:r>
        <w:rPr>
          <w:rFonts w:hint="eastAsia" w:ascii="仿宋" w:hAnsi="仿宋" w:eastAsia="仿宋"/>
          <w:sz w:val="32"/>
          <w:szCs w:val="32"/>
        </w:rPr>
        <w:t>一是部分项目属阶段性工作，2021年已基本完成；二是企业军转干部困难生活补助</w:t>
      </w:r>
      <w:bookmarkEnd w:id="28"/>
      <w:r>
        <w:rPr>
          <w:rFonts w:hint="eastAsia" w:ascii="仿宋" w:hAnsi="仿宋" w:eastAsia="仿宋"/>
          <w:sz w:val="32"/>
          <w:szCs w:val="32"/>
        </w:rPr>
        <w:t>等项目经费需跨年进行支付。</w:t>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r>
        <w:drawing>
          <wp:inline distT="0" distB="0" distL="114300" distR="114300">
            <wp:extent cx="5124450" cy="38862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124450" cy="3886200"/>
                    </a:xfrm>
                    <a:prstGeom prst="rect">
                      <a:avLst/>
                    </a:prstGeom>
                    <a:noFill/>
                    <a:ln>
                      <a:noFill/>
                    </a:ln>
                  </pic:spPr>
                </pic:pic>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4"/>
      </w:pPr>
    </w:p>
    <w:p>
      <w:pPr>
        <w:pStyle w:val="4"/>
        <w:ind w:firstLine="643" w:firstLineChars="200"/>
      </w:pPr>
      <w:bookmarkStart w:id="29" w:name="_Toc27580"/>
      <w:bookmarkStart w:id="30" w:name="_Toc15377206"/>
      <w:bookmarkStart w:id="31" w:name="_Toc15396604"/>
      <w:r>
        <w:rPr>
          <w:rFonts w:hint="eastAsia"/>
        </w:rPr>
        <w:t>二、收入决算情况说明</w:t>
      </w:r>
      <w:bookmarkEnd w:id="29"/>
      <w:bookmarkEnd w:id="30"/>
      <w:bookmarkEnd w:id="31"/>
    </w:p>
    <w:p>
      <w:pPr>
        <w:spacing w:line="600" w:lineRule="exact"/>
        <w:ind w:firstLine="640" w:firstLineChars="200"/>
        <w:rPr>
          <w:rFonts w:ascii="仿宋" w:hAnsi="仿宋" w:eastAsia="仿宋"/>
          <w:sz w:val="32"/>
          <w:szCs w:val="32"/>
        </w:rPr>
      </w:pPr>
      <w:bookmarkStart w:id="32" w:name="_Toc28344"/>
      <w:r>
        <w:rPr>
          <w:rFonts w:hint="eastAsia" w:ascii="仿宋" w:hAnsi="仿宋" w:eastAsia="仿宋"/>
          <w:sz w:val="32"/>
          <w:szCs w:val="32"/>
        </w:rPr>
        <w:t>2022年本年收入合计2,999.20万元，其中：一般公共预算财政拨款收入2,996.45万元，占99.91%；政府性基金预算财政拨款收入0万元，占0%；国有资本经营预算财政拨款收入0万元，占0%；上级补助收入0万元，占0%；事业收入0万元，占0%；经营收入0万元，占0%；附属单位上缴收入0万元，占0%；其他收入2.75万元，占0.09%。</w:t>
      </w:r>
      <w:bookmarkEnd w:id="32"/>
    </w:p>
    <w:p>
      <w:pPr>
        <w:spacing w:line="600" w:lineRule="exact"/>
        <w:ind w:firstLine="640" w:firstLineChars="200"/>
        <w:rPr>
          <w:rFonts w:ascii="仿宋" w:hAnsi="仿宋" w:eastAsia="仿宋"/>
          <w:sz w:val="32"/>
          <w:szCs w:val="32"/>
        </w:rPr>
      </w:pPr>
    </w:p>
    <w:p>
      <w:pPr>
        <w:pStyle w:val="2"/>
        <w:spacing w:before="93"/>
        <w:rPr>
          <w:rFonts w:ascii="仿宋" w:hAnsi="仿宋" w:eastAsia="仿宋"/>
          <w:sz w:val="32"/>
          <w:szCs w:val="32"/>
        </w:rPr>
      </w:pPr>
      <w:r>
        <w:drawing>
          <wp:inline distT="0" distB="0" distL="114300" distR="114300">
            <wp:extent cx="5273675" cy="3077210"/>
            <wp:effectExtent l="0" t="0" r="3175"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273675" cy="3077210"/>
                    </a:xfrm>
                    <a:prstGeom prst="rect">
                      <a:avLst/>
                    </a:prstGeom>
                    <a:noFill/>
                    <a:ln>
                      <a:noFill/>
                    </a:ln>
                  </pic:spPr>
                </pic:pic>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（图2：收入决算结构图）</w:t>
      </w:r>
    </w:p>
    <w:p>
      <w:pPr>
        <w:spacing w:line="600" w:lineRule="exact"/>
        <w:ind w:firstLine="640" w:firstLineChars="200"/>
        <w:rPr>
          <w:rFonts w:ascii="仿宋_GB2312" w:eastAsia="仿宋_GB2312"/>
          <w:sz w:val="32"/>
          <w:szCs w:val="32"/>
        </w:rPr>
      </w:pPr>
    </w:p>
    <w:p>
      <w:pPr>
        <w:pStyle w:val="4"/>
        <w:ind w:left="640"/>
      </w:pPr>
      <w:bookmarkStart w:id="33" w:name="_Toc32536"/>
      <w:bookmarkStart w:id="34" w:name="_Toc15396605"/>
      <w:bookmarkStart w:id="35" w:name="_Toc15377207"/>
      <w:r>
        <w:rPr>
          <w:rFonts w:hint="eastAsia"/>
        </w:rPr>
        <w:t>三、支出决算情况说明</w:t>
      </w:r>
      <w:bookmarkEnd w:id="33"/>
      <w:bookmarkEnd w:id="34"/>
      <w:bookmarkEnd w:id="35"/>
    </w:p>
    <w:p>
      <w:pPr>
        <w:spacing w:line="600" w:lineRule="exact"/>
        <w:ind w:firstLine="640" w:firstLineChars="200"/>
        <w:rPr>
          <w:rFonts w:ascii="仿宋" w:hAnsi="仿宋" w:eastAsia="仿宋"/>
          <w:sz w:val="32"/>
          <w:szCs w:val="32"/>
        </w:rPr>
      </w:pPr>
      <w:bookmarkStart w:id="36" w:name="_Toc25649"/>
      <w:r>
        <w:rPr>
          <w:rFonts w:hint="eastAsia" w:ascii="仿宋" w:hAnsi="仿宋" w:eastAsia="仿宋"/>
          <w:sz w:val="32"/>
          <w:szCs w:val="32"/>
        </w:rPr>
        <w:t>2022年本年支出合计3,036.30万元，其中：基本支出372.80万元，占12.28%；项目支出2,663.50万元，占87.72%上缴上级支出0万元，占0%；经营支出0万元，占0%；对附属单位补助支出0万元，占0%。</w:t>
      </w:r>
      <w:bookmarkEnd w:id="36"/>
    </w:p>
    <w:p>
      <w:pPr>
        <w:spacing w:line="600" w:lineRule="exact"/>
        <w:ind w:firstLine="640" w:firstLineChars="200"/>
        <w:rPr>
          <w:rFonts w:ascii="仿宋" w:hAnsi="仿宋" w:eastAsia="仿宋"/>
          <w:sz w:val="32"/>
          <w:szCs w:val="32"/>
        </w:rPr>
      </w:pPr>
    </w:p>
    <w:p>
      <w:pPr>
        <w:spacing w:line="600" w:lineRule="exact"/>
      </w:pPr>
      <w:r>
        <w:rPr>
          <w:rFonts w:hint="eastAsia"/>
        </w:rPr>
        <w:t xml:space="preserve"> </w:t>
      </w:r>
    </w:p>
    <w:p>
      <w:pPr>
        <w:spacing w:line="600" w:lineRule="exact"/>
      </w:pPr>
      <w:r>
        <w:drawing>
          <wp:anchor distT="0" distB="0" distL="114300" distR="114300" simplePos="0" relativeHeight="251659264" behindDoc="0" locked="0" layoutInCell="1" allowOverlap="1">
            <wp:simplePos x="0" y="0"/>
            <wp:positionH relativeFrom="column">
              <wp:posOffset>314325</wp:posOffset>
            </wp:positionH>
            <wp:positionV relativeFrom="page">
              <wp:posOffset>1524000</wp:posOffset>
            </wp:positionV>
            <wp:extent cx="5271135" cy="3102610"/>
            <wp:effectExtent l="0" t="0" r="5715"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71135" cy="3102610"/>
                    </a:xfrm>
                    <a:prstGeom prst="rect">
                      <a:avLst/>
                    </a:prstGeom>
                    <a:noFill/>
                    <a:ln>
                      <a:noFill/>
                    </a:ln>
                  </pic:spPr>
                </pic:pic>
              </a:graphicData>
            </a:graphic>
          </wp:anchor>
        </w:drawing>
      </w:r>
    </w:p>
    <w:p>
      <w:pPr>
        <w:spacing w:line="600" w:lineRule="exact"/>
        <w:jc w:val="center"/>
        <w:rPr>
          <w:rFonts w:ascii="仿宋_GB2312" w:eastAsia="仿宋_GB2312"/>
          <w:sz w:val="32"/>
          <w:szCs w:val="32"/>
        </w:rPr>
      </w:pPr>
      <w:r>
        <w:rPr>
          <w:rFonts w:hint="eastAsia" w:ascii="仿宋" w:hAnsi="仿宋" w:eastAsia="仿宋"/>
          <w:sz w:val="32"/>
          <w:szCs w:val="32"/>
        </w:rPr>
        <w:t>（图3：支出决算结构图）</w:t>
      </w:r>
    </w:p>
    <w:p>
      <w:pPr>
        <w:pStyle w:val="4"/>
        <w:ind w:firstLine="643" w:firstLineChars="200"/>
      </w:pPr>
      <w:bookmarkStart w:id="37" w:name="_Toc15396606"/>
      <w:bookmarkStart w:id="38" w:name="_Toc2991"/>
      <w:bookmarkStart w:id="39" w:name="_Toc15377208"/>
      <w:r>
        <w:rPr>
          <w:rFonts w:hint="eastAsia"/>
        </w:rPr>
        <w:t>四、财政拨款收入支出决算总体情况说明</w:t>
      </w:r>
      <w:bookmarkEnd w:id="37"/>
      <w:bookmarkEnd w:id="38"/>
      <w:bookmarkEnd w:id="3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2022年财政拨款收、支总计6,032.48万元。与2021年相比，财政拨款收入减少75.89万元，下降2.47%；财政拨款支出减少66.91万元，下降2.16%。主要变动原因是部分项目属阶段性工作，2021年已基本完成。</w:t>
      </w:r>
    </w:p>
    <w:p>
      <w:pPr>
        <w:spacing w:line="600" w:lineRule="exact"/>
        <w:rPr>
          <w:rFonts w:ascii="仿宋" w:hAnsi="仿宋" w:eastAsia="仿宋"/>
          <w:sz w:val="32"/>
          <w:szCs w:val="32"/>
        </w:rPr>
      </w:pPr>
    </w:p>
    <w:p>
      <w:pPr>
        <w:pStyle w:val="2"/>
        <w:spacing w:before="93"/>
        <w:jc w:val="center"/>
        <w:rPr>
          <w:rFonts w:ascii="仿宋" w:hAnsi="仿宋" w:eastAsia="仿宋"/>
          <w:sz w:val="32"/>
          <w:szCs w:val="32"/>
        </w:rPr>
      </w:pPr>
      <w:r>
        <w:drawing>
          <wp:inline distT="0" distB="0" distL="114300" distR="114300">
            <wp:extent cx="5143500" cy="3857625"/>
            <wp:effectExtent l="0" t="0" r="0" b="952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1"/>
                    <a:stretch>
                      <a:fillRect/>
                    </a:stretch>
                  </pic:blipFill>
                  <pic:spPr>
                    <a:xfrm>
                      <a:off x="0" y="0"/>
                      <a:ext cx="5143500" cy="3857625"/>
                    </a:xfrm>
                    <a:prstGeom prst="rect">
                      <a:avLst/>
                    </a:prstGeom>
                    <a:noFill/>
                    <a:ln>
                      <a:noFill/>
                    </a:ln>
                  </pic:spPr>
                </pic:pic>
              </a:graphicData>
            </a:graphic>
          </wp:inline>
        </w:drawing>
      </w: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pStyle w:val="4"/>
        <w:ind w:firstLine="643" w:firstLineChars="200"/>
      </w:pPr>
      <w:bookmarkStart w:id="40" w:name="_Toc15396607"/>
      <w:bookmarkStart w:id="41" w:name="_Toc15377209"/>
      <w:bookmarkStart w:id="42" w:name="_Toc1160"/>
      <w:r>
        <w:rPr>
          <w:rFonts w:hint="eastAsia"/>
        </w:rPr>
        <w:t>五、一般公共预算财政拨款支出决算情况说明</w:t>
      </w:r>
      <w:bookmarkEnd w:id="40"/>
      <w:bookmarkEnd w:id="41"/>
      <w:bookmarkEnd w:id="42"/>
    </w:p>
    <w:p>
      <w:pPr>
        <w:spacing w:line="600" w:lineRule="exact"/>
        <w:ind w:firstLine="643" w:firstLineChars="200"/>
        <w:outlineLvl w:val="2"/>
        <w:rPr>
          <w:rFonts w:ascii="仿宋" w:hAnsi="仿宋" w:eastAsia="仿宋"/>
          <w:b/>
          <w:sz w:val="32"/>
          <w:szCs w:val="32"/>
        </w:rPr>
      </w:pPr>
      <w:bookmarkStart w:id="43" w:name="_Toc15377210"/>
      <w:r>
        <w:rPr>
          <w:rFonts w:hint="eastAsia" w:ascii="仿宋" w:hAnsi="仿宋" w:eastAsia="仿宋"/>
          <w:b/>
          <w:sz w:val="32"/>
          <w:szCs w:val="32"/>
        </w:rPr>
        <w:t>（一）一般公共预算财政拨款支出决算总体情况</w:t>
      </w:r>
      <w:bookmarkEnd w:id="43"/>
    </w:p>
    <w:p>
      <w:pPr>
        <w:spacing w:line="600" w:lineRule="exact"/>
        <w:ind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022年一般公共预算财政拨款支出3,036.03万元，占本年支出合计的99.99%。与2021年相比，一般公共预算财政拨款支出减少62.79万元，下降2.03%。主要变动原因是：部分项目属阶段性工作，2021年已基本完成。</w:t>
      </w:r>
    </w:p>
    <w:p>
      <w:pPr>
        <w:spacing w:line="600" w:lineRule="exact"/>
        <w:ind w:firstLine="640" w:firstLineChars="200"/>
        <w:rPr>
          <w:rFonts w:ascii="仿宋" w:hAnsi="仿宋" w:eastAsia="仿宋"/>
          <w:sz w:val="32"/>
          <w:szCs w:val="32"/>
        </w:rPr>
      </w:pPr>
    </w:p>
    <w:p>
      <w:pPr>
        <w:pStyle w:val="2"/>
        <w:spacing w:before="93"/>
        <w:rPr>
          <w:rFonts w:ascii="仿宋" w:hAnsi="仿宋" w:eastAsia="仿宋"/>
          <w:sz w:val="32"/>
          <w:szCs w:val="32"/>
        </w:rPr>
      </w:pPr>
      <w:r>
        <w:drawing>
          <wp:inline distT="0" distB="0" distL="114300" distR="114300">
            <wp:extent cx="5271135" cy="3121025"/>
            <wp:effectExtent l="0" t="0" r="5715" b="317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2"/>
                    <a:stretch>
                      <a:fillRect/>
                    </a:stretch>
                  </pic:blipFill>
                  <pic:spPr>
                    <a:xfrm>
                      <a:off x="0" y="0"/>
                      <a:ext cx="5271135" cy="3121025"/>
                    </a:xfrm>
                    <a:prstGeom prst="rect">
                      <a:avLst/>
                    </a:prstGeom>
                    <a:noFill/>
                    <a:ln>
                      <a:noFill/>
                    </a:ln>
                  </pic:spPr>
                </pic:pic>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44" w:name="_Toc15377211"/>
      <w:r>
        <w:rPr>
          <w:rFonts w:hint="eastAsia" w:ascii="仿宋" w:hAnsi="仿宋" w:eastAsia="仿宋"/>
          <w:b/>
          <w:sz w:val="32"/>
          <w:szCs w:val="32"/>
        </w:rPr>
        <w:t>（二）一般公共预算财政拨款支出决算结构情况</w:t>
      </w:r>
      <w:bookmarkEnd w:id="44"/>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0288" behindDoc="0" locked="0" layoutInCell="1" allowOverlap="1">
            <wp:simplePos x="0" y="0"/>
            <wp:positionH relativeFrom="column">
              <wp:posOffset>-104775</wp:posOffset>
            </wp:positionH>
            <wp:positionV relativeFrom="page">
              <wp:posOffset>6082030</wp:posOffset>
            </wp:positionV>
            <wp:extent cx="5271135" cy="3099435"/>
            <wp:effectExtent l="0" t="0" r="5715" b="5715"/>
            <wp:wrapSquare wrapText="bothSides"/>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3"/>
                    <a:stretch>
                      <a:fillRect/>
                    </a:stretch>
                  </pic:blipFill>
                  <pic:spPr>
                    <a:xfrm>
                      <a:off x="0" y="0"/>
                      <a:ext cx="5271135" cy="3099435"/>
                    </a:xfrm>
                    <a:prstGeom prst="rect">
                      <a:avLst/>
                    </a:prstGeom>
                    <a:noFill/>
                    <a:ln>
                      <a:noFill/>
                    </a:ln>
                  </pic:spPr>
                </pic:pic>
              </a:graphicData>
            </a:graphic>
          </wp:anchor>
        </w:drawing>
      </w:r>
      <w:r>
        <w:rPr>
          <w:rFonts w:hint="eastAsia" w:ascii="仿宋" w:hAnsi="仿宋" w:eastAsia="仿宋"/>
          <w:sz w:val="32"/>
          <w:szCs w:val="32"/>
        </w:rPr>
        <w:t>2022年一般公共预算财政拨款支出3,036.03万元，主要用于以下方面:社会保障和就业支出3,004.66万元，占98.97%；住房保障支出31.37万元，占1.03%。</w:t>
      </w:r>
    </w:p>
    <w:p>
      <w:pPr>
        <w:spacing w:line="600" w:lineRule="exact"/>
        <w:jc w:val="center"/>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321" w:firstLineChars="100"/>
        <w:outlineLvl w:val="2"/>
        <w:rPr>
          <w:rFonts w:ascii="仿宋" w:hAnsi="仿宋" w:eastAsia="仿宋"/>
          <w:b/>
          <w:sz w:val="32"/>
          <w:szCs w:val="32"/>
        </w:rPr>
      </w:pPr>
      <w:bookmarkStart w:id="45" w:name="_Toc15377212"/>
      <w:r>
        <w:rPr>
          <w:rFonts w:hint="eastAsia" w:ascii="仿宋" w:hAnsi="仿宋" w:eastAsia="仿宋"/>
          <w:b/>
          <w:sz w:val="32"/>
          <w:szCs w:val="32"/>
        </w:rPr>
        <w:t>（三）一般公共预算财政拨款支出决算具体情况</w:t>
      </w:r>
      <w:bookmarkEnd w:id="45"/>
    </w:p>
    <w:p>
      <w:pPr>
        <w:spacing w:line="600" w:lineRule="exact"/>
        <w:ind w:firstLine="640" w:firstLineChars="200"/>
        <w:rPr>
          <w:rFonts w:ascii="仿宋" w:hAnsi="仿宋" w:eastAsia="仿宋"/>
          <w:sz w:val="32"/>
          <w:szCs w:val="32"/>
        </w:rPr>
      </w:pPr>
      <w:bookmarkStart w:id="46" w:name="_Toc15377444"/>
      <w:bookmarkStart w:id="47" w:name="_Toc15377213"/>
      <w:bookmarkStart w:id="48" w:name="_Toc12527"/>
      <w:bookmarkStart w:id="49" w:name="_Toc15378460"/>
      <w:r>
        <w:rPr>
          <w:rFonts w:hint="eastAsia" w:ascii="仿宋" w:hAnsi="仿宋" w:eastAsia="仿宋"/>
          <w:sz w:val="32"/>
          <w:szCs w:val="32"/>
        </w:rPr>
        <w:t>2022年一般公共预算支出决算数为3,036.03，完成预算100%。其中：</w:t>
      </w:r>
      <w:bookmarkEnd w:id="46"/>
      <w:bookmarkEnd w:id="47"/>
      <w:bookmarkEnd w:id="48"/>
      <w:bookmarkEnd w:id="49"/>
    </w:p>
    <w:p>
      <w:pPr>
        <w:spacing w:line="600" w:lineRule="exact"/>
        <w:ind w:firstLine="640" w:firstLineChars="200"/>
        <w:rPr>
          <w:rFonts w:ascii="仿宋" w:hAnsi="仿宋" w:eastAsia="仿宋"/>
          <w:sz w:val="32"/>
          <w:szCs w:val="32"/>
        </w:rPr>
      </w:pPr>
      <w:r>
        <w:rPr>
          <w:rFonts w:hint="eastAsia" w:ascii="仿宋" w:hAnsi="仿宋" w:eastAsia="仿宋"/>
          <w:sz w:val="32"/>
          <w:szCs w:val="32"/>
        </w:rPr>
        <w:t>1.社会保障和就业支出（类）行政事业单位养老支出（款）行政单位离退休（项）:支出决算为6.82万元，完成预算100%，决算数与预算数持平。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2.社会保障和就业支出（类）行政事业单位养老支出（款）机关事业单位基本养老保险缴费支出（项）:支出决算为22.04万元，完成预算100%，决算数与预算数持平。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3.社会保障和就业支出（类）抚恤（款）其他优抚支出（项）:支出决算为0.73万元，完成预算100%，决算数与预算数持平。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4.社会保障和就业支出（类）退役安置（款）退役士兵安置（项）:支出决算为1.45万元，完成预算100%，决算数与预算数持平。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5.社会保障和就业支出（类）退役安置（款）军队转业干部安置（项）:支出决算为2,421.63万元，完成预算100%，决算数与预算数持平。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6.社会保障和就业支出（类）退役安置（款）其他退役安置支出（项）:支出决算为3.71万元，完成预算100%，决算数与预算数持平。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7.社会保障和就业支出（类）社会福利（款）儿童福利（项）:支出决算为0.18万元，完成预算100%，决算数与预算数持平。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8.社会保障和就业支出（类）退役军人管理事务（款）    行政运行（项）:支出决算为312.57万元，完成预算100%，决算数与预算数持平。</w:t>
      </w:r>
    </w:p>
    <w:p>
      <w:pPr>
        <w:spacing w:line="600" w:lineRule="exact"/>
        <w:ind w:firstLine="640" w:firstLineChars="200"/>
        <w:rPr>
          <w:rStyle w:val="15"/>
          <w:rFonts w:ascii="仿宋" w:hAnsi="仿宋" w:eastAsia="仿宋"/>
          <w:b w:val="0"/>
          <w:bCs/>
          <w:sz w:val="32"/>
          <w:szCs w:val="32"/>
        </w:rPr>
      </w:pPr>
      <w:r>
        <w:rPr>
          <w:rFonts w:hint="eastAsia" w:ascii="仿宋" w:hAnsi="仿宋" w:eastAsia="仿宋"/>
          <w:sz w:val="32"/>
          <w:szCs w:val="32"/>
        </w:rPr>
        <w:t>9.社会保障和就业支出（类）退役军人管理事务（款）      拥军优属（项）:支出决算为33.91万元，完成预算100%，决算数与预算数持平。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10.社会保障和就业支出（类）退役军人管理事务（款）       其他退役军人事务管理支出（项）:支出决算为191.74万元，完成预算100%，决算数与预算数持平。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11.社会保障和就业支出（类）其他社会保障和就业支出（款）其他社会保障和就业支出（项）:支出决算为9.88万元，完成预算100%，决算数与预算数持平。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12.住房保障支出（类）住房改革支出（款）住房公积金（项）:支出决算为31.37万元，完成预算100%，决算数与预算数持平。</w:t>
      </w:r>
    </w:p>
    <w:p>
      <w:pPr>
        <w:tabs>
          <w:tab w:val="right" w:pos="8306"/>
        </w:tabs>
        <w:spacing w:line="600" w:lineRule="exact"/>
        <w:ind w:firstLine="640"/>
        <w:outlineLvl w:val="1"/>
        <w:rPr>
          <w:rStyle w:val="26"/>
        </w:rPr>
      </w:pPr>
      <w:bookmarkStart w:id="50" w:name="_Toc15377214"/>
      <w:bookmarkStart w:id="51" w:name="_Toc30738"/>
      <w:bookmarkStart w:id="52" w:name="_Toc15396608"/>
      <w:r>
        <w:rPr>
          <w:rStyle w:val="26"/>
          <w:rFonts w:hint="eastAsia"/>
        </w:rPr>
        <w:t>六、一般公共预算财政拨款基本支出决算情况说明</w:t>
      </w:r>
      <w:bookmarkEnd w:id="50"/>
      <w:bookmarkEnd w:id="51"/>
      <w:bookmarkEnd w:id="52"/>
      <w:r>
        <w:rPr>
          <w:rStyle w:val="26"/>
          <w:rFonts w:ascii="黑体" w:hAnsi="黑体" w:eastAsia="黑体"/>
          <w:b w:val="0"/>
        </w:rPr>
        <w:tab/>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2022年一般公共预算财政拨款基本支出372.80万元，其中：</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人员经费332.75万元，主要包括：基本工资、津贴补贴、奖金、机关事业单位基本养老保险缴费、职工基本医疗保险缴费、公务员医疗补助缴费、其他社会保障缴费、其他工资福利支出、生活补助、医疗费补助、住房公积金等。</w:t>
      </w:r>
      <w:r>
        <w:rPr>
          <w:rFonts w:hint="eastAsia" w:ascii="仿宋" w:hAnsi="仿宋" w:eastAsia="仿宋"/>
          <w:sz w:val="32"/>
          <w:szCs w:val="32"/>
        </w:rPr>
        <w:br w:type="textWrapping"/>
      </w:r>
      <w:r>
        <w:rPr>
          <w:rFonts w:hint="eastAsia" w:ascii="仿宋" w:hAnsi="仿宋" w:eastAsia="仿宋"/>
          <w:sz w:val="32"/>
          <w:szCs w:val="32"/>
        </w:rPr>
        <w:t>　　公用经费40.05万元，主要包括：办公费、邮电费、差旅费、维修（护）费、会议费、培训费、公务接待费、劳务费、委托业务费、工会经费、福利费、公务用车运行维护费、其他交通费、其他商品和服务支出等。</w:t>
      </w:r>
    </w:p>
    <w:p>
      <w:pPr>
        <w:pStyle w:val="4"/>
        <w:ind w:firstLine="643" w:firstLineChars="200"/>
      </w:pPr>
      <w:bookmarkStart w:id="53" w:name="_Toc15377215"/>
      <w:bookmarkStart w:id="54" w:name="_Toc18960"/>
      <w:bookmarkStart w:id="55" w:name="_Toc15396609"/>
      <w:r>
        <w:rPr>
          <w:rFonts w:hint="eastAsia"/>
        </w:rPr>
        <w:t>七、财政拨款“三公”经费支出决算情况说明</w:t>
      </w:r>
      <w:bookmarkEnd w:id="53"/>
      <w:bookmarkEnd w:id="54"/>
      <w:bookmarkEnd w:id="55"/>
    </w:p>
    <w:p>
      <w:pPr>
        <w:spacing w:line="600" w:lineRule="exact"/>
        <w:ind w:firstLine="640"/>
        <w:outlineLvl w:val="2"/>
        <w:rPr>
          <w:rFonts w:ascii="仿宋" w:hAnsi="仿宋" w:eastAsia="仿宋"/>
          <w:b/>
          <w:sz w:val="32"/>
          <w:szCs w:val="32"/>
        </w:rPr>
      </w:pPr>
      <w:bookmarkStart w:id="56" w:name="_Toc15377216"/>
      <w:r>
        <w:rPr>
          <w:rFonts w:hint="eastAsia" w:ascii="仿宋" w:hAnsi="仿宋" w:eastAsia="仿宋"/>
          <w:b/>
          <w:sz w:val="32"/>
          <w:szCs w:val="32"/>
        </w:rPr>
        <w:t>（一）“三公”经费财政拨款支出决算总体情况说明</w:t>
      </w:r>
      <w:bookmarkEnd w:id="56"/>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2022年“三公”经费财政拨款支出决算为4.18万元，完成预算100%，较上年减少47.48万元，下降91.91%。决算数小于预算数的主要原因是2021年预算安排公务用车购置费。</w:t>
      </w:r>
    </w:p>
    <w:p>
      <w:pPr>
        <w:spacing w:line="600" w:lineRule="exact"/>
        <w:ind w:firstLine="640"/>
        <w:outlineLvl w:val="2"/>
        <w:rPr>
          <w:rFonts w:ascii="仿宋" w:hAnsi="仿宋" w:eastAsia="仿宋"/>
          <w:b/>
          <w:sz w:val="32"/>
          <w:szCs w:val="32"/>
        </w:rPr>
      </w:pPr>
      <w:bookmarkStart w:id="57" w:name="_Toc15377217"/>
      <w:r>
        <w:rPr>
          <w:rFonts w:hint="eastAsia" w:ascii="仿宋" w:hAnsi="仿宋" w:eastAsia="仿宋"/>
          <w:b/>
          <w:sz w:val="32"/>
          <w:szCs w:val="32"/>
        </w:rPr>
        <w:t>（二）“三公”经费财政拨款支出决算具体情况说明</w:t>
      </w:r>
      <w:bookmarkEnd w:id="57"/>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2022年“三公”经费财政拨款支出决算中，因公出国（境）费支出决算0万元，占0%；公务用车购置及运行维护费支出决算3.89万元，占93.06%；公务接待费支出决算0.29万元，占6.94%。具体情况如下：</w:t>
      </w:r>
    </w:p>
    <w:p>
      <w:pPr>
        <w:pStyle w:val="2"/>
        <w:spacing w:before="93"/>
        <w:rPr>
          <w:rFonts w:ascii="仿宋" w:hAnsi="仿宋" w:eastAsia="仿宋"/>
          <w:sz w:val="32"/>
          <w:szCs w:val="32"/>
        </w:rPr>
      </w:pPr>
      <w:r>
        <w:drawing>
          <wp:inline distT="0" distB="0" distL="114300" distR="114300">
            <wp:extent cx="5273675" cy="3105150"/>
            <wp:effectExtent l="0" t="0" r="3175"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4"/>
                    <a:stretch>
                      <a:fillRect/>
                    </a:stretch>
                  </pic:blipFill>
                  <pic:spPr>
                    <a:xfrm>
                      <a:off x="0" y="0"/>
                      <a:ext cx="5273675" cy="3105150"/>
                    </a:xfrm>
                    <a:prstGeom prst="rect">
                      <a:avLst/>
                    </a:prstGeom>
                    <a:noFill/>
                    <a:ln>
                      <a:noFill/>
                    </a:ln>
                  </pic:spPr>
                </pic:pic>
              </a:graphicData>
            </a:graphic>
          </wp:inline>
        </w:drawing>
      </w:r>
    </w:p>
    <w:p>
      <w:pPr>
        <w:spacing w:line="600" w:lineRule="exact"/>
        <w:jc w:val="center"/>
        <w:rPr>
          <w:rFonts w:ascii="仿宋_GB2312" w:eastAsia="仿宋_GB2312"/>
          <w:b/>
          <w:sz w:val="32"/>
          <w:szCs w:val="32"/>
        </w:rPr>
      </w:pPr>
      <w:r>
        <w:rPr>
          <w:rFonts w:hint="eastAsia" w:ascii="仿宋" w:hAnsi="仿宋" w:eastAsia="仿宋"/>
          <w:sz w:val="32"/>
          <w:szCs w:val="32"/>
        </w:rPr>
        <w:t>（图7：“三公”经费财政拨款支出结构）</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1.因公出国（境）经费支出0万元，完成预算0%。全年安排因公出国（境）团组0次，出国（境）0人。因公出国（境）支出决算与2021年决算持平。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2.公务用车购置及运行维护费支出3.89万元,完成预算100%。公务用车购置及运行维护费支出决算比2021年减少47.53万元，下降92.43%。主要原因是2021年预算安排公务用车购置费。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其中：公务用车购置支出0万元。全年按规定更新购置公务用车0辆，其中：轿车0辆、金额0万元，越野车0辆、金额0万元，载客汽车0辆、金额0万元。截至2022年12月底，单位共有公务用车1辆，其中：轿车0辆、越野车1辆、载客汽车0辆。</w:t>
      </w:r>
    </w:p>
    <w:p>
      <w:pPr>
        <w:spacing w:line="600" w:lineRule="exact"/>
        <w:ind w:firstLine="640"/>
        <w:rPr>
          <w:rFonts w:ascii="仿宋" w:hAnsi="仿宋" w:eastAsia="仿宋"/>
          <w:sz w:val="32"/>
          <w:szCs w:val="32"/>
        </w:rPr>
      </w:pPr>
      <w:r>
        <w:rPr>
          <w:rFonts w:hint="eastAsia" w:ascii="仿宋" w:hAnsi="仿宋" w:eastAsia="仿宋"/>
          <w:sz w:val="32"/>
          <w:szCs w:val="32"/>
        </w:rPr>
        <w:t>公务用车运行维护费支出3.89万元。主要用于保障单位正常运转及完成特定工作任务所需的公务用车燃料费、维修费、过路过桥费、保险费等支出。</w:t>
      </w:r>
    </w:p>
    <w:p>
      <w:pPr>
        <w:spacing w:line="600" w:lineRule="exact"/>
        <w:ind w:firstLine="640"/>
        <w:rPr>
          <w:rFonts w:ascii="仿宋" w:hAnsi="仿宋" w:eastAsia="仿宋"/>
          <w:sz w:val="32"/>
          <w:szCs w:val="32"/>
        </w:rPr>
      </w:pPr>
      <w:r>
        <w:rPr>
          <w:rFonts w:hint="eastAsia" w:ascii="仿宋" w:hAnsi="仿宋" w:eastAsia="仿宋"/>
          <w:sz w:val="32"/>
          <w:szCs w:val="32"/>
        </w:rPr>
        <w:t>3.公务接待费支出0.29万元，完成预算100%。公务接待费支出决算比2021年增加0.05万元，增长20.83%。主要原因是接待人数较上一年有所增加。其中：</w:t>
      </w:r>
    </w:p>
    <w:p>
      <w:pPr>
        <w:spacing w:line="600" w:lineRule="exact"/>
        <w:ind w:firstLine="640"/>
        <w:rPr>
          <w:rFonts w:ascii="仿宋" w:hAnsi="仿宋" w:eastAsia="仿宋"/>
          <w:sz w:val="32"/>
          <w:szCs w:val="32"/>
        </w:rPr>
      </w:pPr>
      <w:r>
        <w:rPr>
          <w:rFonts w:hint="eastAsia" w:ascii="仿宋" w:hAnsi="仿宋" w:eastAsia="仿宋"/>
          <w:sz w:val="32"/>
          <w:szCs w:val="32"/>
        </w:rPr>
        <w:t>国内公务接待支出0.29万元，主要用于执行公务、开展业务活动开支的用餐费。国内公务接待1批次，12人次（不包括陪同人员），共计支出0.29万元，具体内容包括：接待省厅领导到攀开展退役军人事务工作督查0.29万元。</w:t>
      </w:r>
    </w:p>
    <w:p>
      <w:pPr>
        <w:spacing w:line="600" w:lineRule="exact"/>
        <w:ind w:firstLine="640"/>
        <w:rPr>
          <w:rFonts w:ascii="仿宋" w:hAnsi="仿宋" w:eastAsia="仿宋"/>
          <w:sz w:val="32"/>
          <w:szCs w:val="32"/>
        </w:rPr>
      </w:pPr>
      <w:r>
        <w:rPr>
          <w:rFonts w:hint="eastAsia" w:ascii="仿宋" w:hAnsi="仿宋" w:eastAsia="仿宋"/>
          <w:sz w:val="32"/>
          <w:szCs w:val="32"/>
        </w:rPr>
        <w:t>外事接待支出0万元，外事接待0批次，0人次（不包括陪同人员），共计支出0万元。</w:t>
      </w:r>
      <w:bookmarkStart w:id="58" w:name="_Toc15396610"/>
      <w:bookmarkStart w:id="59" w:name="_Toc15377218"/>
    </w:p>
    <w:p>
      <w:pPr>
        <w:pStyle w:val="4"/>
        <w:ind w:firstLine="643" w:firstLineChars="200"/>
      </w:pPr>
      <w:bookmarkStart w:id="60" w:name="_Toc30865"/>
      <w:r>
        <w:rPr>
          <w:rFonts w:hint="eastAsia"/>
        </w:rPr>
        <w:t>八、政府性基金预算支出决算情况说明</w:t>
      </w:r>
      <w:bookmarkEnd w:id="58"/>
      <w:bookmarkEnd w:id="59"/>
      <w:bookmarkEnd w:id="60"/>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2022年政府性基金预算财政拨款支出0万元。</w:t>
      </w:r>
    </w:p>
    <w:p>
      <w:pPr>
        <w:pStyle w:val="4"/>
        <w:ind w:firstLine="643" w:firstLineChars="200"/>
      </w:pPr>
      <w:bookmarkStart w:id="61" w:name="_Toc15377219"/>
      <w:bookmarkStart w:id="62" w:name="_Toc15396611"/>
      <w:bookmarkStart w:id="63" w:name="_Toc28556"/>
      <w:r>
        <w:rPr>
          <w:rFonts w:hint="eastAsia"/>
        </w:rPr>
        <w:t>九、国有资本经营预算支出决算情况说明</w:t>
      </w:r>
      <w:bookmarkEnd w:id="61"/>
      <w:bookmarkEnd w:id="62"/>
      <w:bookmarkEnd w:id="63"/>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2022年国有资本经营预算财政拨款支出0万元。</w:t>
      </w:r>
    </w:p>
    <w:p>
      <w:pPr>
        <w:pStyle w:val="4"/>
        <w:ind w:firstLine="643" w:firstLineChars="200"/>
      </w:pPr>
      <w:bookmarkStart w:id="64" w:name="_Toc29520"/>
      <w:bookmarkStart w:id="65" w:name="_Toc15396612"/>
      <w:bookmarkStart w:id="66" w:name="_Toc15377221"/>
      <w:r>
        <w:rPr>
          <w:rFonts w:hint="eastAsia"/>
        </w:rPr>
        <w:t>十、其他重要事项的情况说明</w:t>
      </w:r>
      <w:bookmarkEnd w:id="64"/>
      <w:bookmarkEnd w:id="65"/>
      <w:bookmarkEnd w:id="66"/>
    </w:p>
    <w:p>
      <w:pPr>
        <w:spacing w:line="600" w:lineRule="exact"/>
        <w:ind w:firstLine="643" w:firstLineChars="200"/>
        <w:outlineLvl w:val="2"/>
        <w:rPr>
          <w:rFonts w:ascii="仿宋" w:hAnsi="仿宋" w:eastAsia="仿宋"/>
          <w:sz w:val="32"/>
          <w:szCs w:val="32"/>
        </w:rPr>
      </w:pPr>
      <w:bookmarkStart w:id="67" w:name="_Toc15377222"/>
      <w:r>
        <w:rPr>
          <w:rFonts w:hint="eastAsia" w:ascii="仿宋" w:hAnsi="仿宋" w:eastAsia="仿宋"/>
          <w:b/>
          <w:sz w:val="32"/>
          <w:szCs w:val="32"/>
        </w:rPr>
        <w:t>（一）机关运行经费支出情况</w:t>
      </w:r>
      <w:bookmarkEnd w:id="67"/>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2022年，市退役军人局机关运行经费支出40.05万元，比2021年增加4.17万元，增长11.62%。主要原因是公务用车运行维护费较上一年有所增加。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8" w:name="_Toc15377223"/>
      <w:r>
        <w:rPr>
          <w:rFonts w:hint="eastAsia" w:ascii="仿宋" w:hAnsi="仿宋" w:eastAsia="仿宋"/>
          <w:b/>
          <w:sz w:val="32"/>
          <w:szCs w:val="32"/>
        </w:rPr>
        <w:t>（二）政府采购支出情况</w:t>
      </w:r>
      <w:bookmarkEnd w:id="68"/>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市退役军人局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9" w:name="_Toc15377224"/>
      <w:r>
        <w:rPr>
          <w:rFonts w:hint="eastAsia" w:ascii="仿宋" w:hAnsi="仿宋" w:eastAsia="仿宋"/>
          <w:b/>
          <w:sz w:val="32"/>
          <w:szCs w:val="32"/>
        </w:rPr>
        <w:t>（三）国有资产占有使用情况</w:t>
      </w:r>
      <w:bookmarkEnd w:id="69"/>
    </w:p>
    <w:p>
      <w:pPr>
        <w:spacing w:line="600" w:lineRule="exact"/>
        <w:ind w:firstLine="640" w:firstLineChars="200"/>
        <w:rPr>
          <w:rFonts w:ascii="仿宋" w:hAnsi="仿宋" w:eastAsia="仿宋"/>
          <w:sz w:val="32"/>
          <w:szCs w:val="32"/>
        </w:rPr>
      </w:pPr>
      <w:r>
        <w:rPr>
          <w:rFonts w:hint="eastAsia" w:ascii="仿宋" w:hAnsi="仿宋" w:eastAsia="仿宋"/>
          <w:sz w:val="32"/>
          <w:szCs w:val="32"/>
        </w:rPr>
        <w:t>截至2022年12月31日，市退役军人局共有车辆1辆，其中：主要领导干部用车0辆、机要通信用车0辆、应急保障用车1辆、其他用车0辆。单价100万元以上专用设备0台（套）。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根据预算绩效管理要求，本单位在2022年度预算编制阶段，组织对“驻攀部队随军随队配偶自谋职业一次性经济补助及未就业期间生活补助”、“军分区安保勤务人员经费”、 “双拥慰问经费”、“全国退役军人就业创业成果展”等9个项目开展了预算事前绩效评估，对9个项目编制了绩效目标，预算执行过程中，选取9个项目开展绩效监控，组织对9个项目开展绩效自评，绩效自评表详见第四部分附件。</w:t>
      </w:r>
    </w:p>
    <w:p>
      <w:pPr>
        <w:widowControl/>
        <w:jc w:val="center"/>
        <w:outlineLvl w:val="0"/>
        <w:rPr>
          <w:rStyle w:val="25"/>
          <w:rFonts w:ascii="黑体" w:hAnsi="黑体" w:eastAsia="黑体" w:cstheme="minorBidi"/>
          <w:b w:val="0"/>
        </w:rPr>
      </w:pPr>
      <w:r>
        <w:rPr>
          <w:rFonts w:ascii="仿宋_GB2312" w:eastAsia="仿宋_GB2312"/>
          <w:b/>
          <w:sz w:val="32"/>
          <w:szCs w:val="32"/>
        </w:rPr>
        <w:br w:type="page"/>
      </w:r>
      <w:bookmarkStart w:id="70" w:name="_Toc7509"/>
      <w:bookmarkStart w:id="71" w:name="_Toc15377225"/>
      <w:bookmarkStart w:id="72" w:name="_Toc15396613"/>
      <w:r>
        <w:rPr>
          <w:rStyle w:val="25"/>
          <w:rFonts w:hint="eastAsia" w:ascii="黑体" w:hAnsi="黑体" w:eastAsia="黑体" w:cstheme="minorBidi"/>
          <w:b w:val="0"/>
        </w:rPr>
        <w:t>第三部分 名词解释</w:t>
      </w:r>
      <w:bookmarkEnd w:id="70"/>
      <w:bookmarkEnd w:id="71"/>
      <w:bookmarkEnd w:id="72"/>
    </w:p>
    <w:p>
      <w:pPr>
        <w:spacing w:line="600" w:lineRule="exact"/>
        <w:jc w:val="left"/>
        <w:rPr>
          <w:rFonts w:ascii="宋体"/>
          <w:b/>
          <w:sz w:val="44"/>
          <w:szCs w:val="44"/>
        </w:rPr>
      </w:pPr>
    </w:p>
    <w:p>
      <w:pPr>
        <w:spacing w:line="600" w:lineRule="exact"/>
        <w:ind w:firstLine="640"/>
        <w:rPr>
          <w:rFonts w:ascii="仿宋" w:hAnsi="仿宋" w:eastAsia="仿宋"/>
          <w:sz w:val="32"/>
          <w:szCs w:val="32"/>
        </w:rPr>
      </w:pPr>
      <w:r>
        <w:rPr>
          <w:rFonts w:hint="eastAsia" w:ascii="仿宋" w:hAnsi="仿宋" w:eastAsia="仿宋"/>
          <w:sz w:val="32"/>
          <w:szCs w:val="32"/>
        </w:rPr>
        <w:t>1.财政拨款收入：指单位从同级财政部门取得的财政预算资金。</w:t>
      </w:r>
    </w:p>
    <w:p>
      <w:pPr>
        <w:spacing w:line="600" w:lineRule="exact"/>
        <w:ind w:firstLine="640"/>
        <w:rPr>
          <w:rFonts w:ascii="仿宋" w:hAnsi="仿宋" w:eastAsia="仿宋"/>
          <w:sz w:val="32"/>
          <w:szCs w:val="32"/>
        </w:rPr>
      </w:pPr>
      <w:r>
        <w:rPr>
          <w:rFonts w:hint="eastAsia" w:ascii="仿宋" w:hAnsi="仿宋" w:eastAsia="仿宋"/>
          <w:sz w:val="32"/>
          <w:szCs w:val="32"/>
        </w:rPr>
        <w:t>2.其他收入：指单位取得的除上述收入以外的各项收入。主要是指上级部门划拨的工作经费、利息收入、党建经费。</w:t>
      </w:r>
    </w:p>
    <w:p>
      <w:pPr>
        <w:spacing w:line="600" w:lineRule="exact"/>
        <w:ind w:firstLine="640"/>
        <w:rPr>
          <w:rFonts w:ascii="仿宋" w:hAnsi="仿宋" w:eastAsia="仿宋"/>
          <w:sz w:val="32"/>
          <w:szCs w:val="32"/>
        </w:rPr>
      </w:pPr>
      <w:r>
        <w:rPr>
          <w:rFonts w:hint="eastAsia" w:ascii="仿宋" w:hAnsi="仿宋" w:eastAsia="仿宋"/>
          <w:sz w:val="32"/>
          <w:szCs w:val="32"/>
        </w:rPr>
        <w:t>3.年初结转和结余：指以前年度尚未完成、结转到本年按有关规定继续使用的资金。</w:t>
      </w:r>
    </w:p>
    <w:p>
      <w:pPr>
        <w:spacing w:line="600" w:lineRule="exact"/>
        <w:ind w:firstLine="640"/>
        <w:rPr>
          <w:rFonts w:ascii="仿宋" w:hAnsi="仿宋" w:eastAsia="仿宋"/>
          <w:sz w:val="32"/>
          <w:szCs w:val="32"/>
        </w:rPr>
      </w:pPr>
      <w:r>
        <w:rPr>
          <w:rFonts w:hint="eastAsia" w:ascii="仿宋" w:hAnsi="仿宋" w:eastAsia="仿宋"/>
          <w:sz w:val="32"/>
          <w:szCs w:val="32"/>
        </w:rPr>
        <w:t>4.年末结转和结余：指单位按有关规定结转到下年或以后年度继续使用的资金。</w:t>
      </w:r>
    </w:p>
    <w:p>
      <w:pPr>
        <w:spacing w:line="600" w:lineRule="exact"/>
        <w:ind w:firstLine="640"/>
        <w:rPr>
          <w:rFonts w:ascii="仿宋" w:hAnsi="仿宋" w:eastAsia="仿宋"/>
          <w:sz w:val="32"/>
          <w:szCs w:val="32"/>
        </w:rPr>
      </w:pPr>
      <w:r>
        <w:rPr>
          <w:rFonts w:hint="eastAsia" w:ascii="仿宋" w:hAnsi="仿宋" w:eastAsia="仿宋"/>
          <w:sz w:val="32"/>
          <w:szCs w:val="32"/>
        </w:rPr>
        <w:t>5.社会保障和就业支出（类）行政事业单位离退休（款）  行政单位离退休（项）:反映行政单位（包括实行公务员管理的事业单位）开支的离退休经费。</w:t>
      </w:r>
    </w:p>
    <w:p>
      <w:pPr>
        <w:spacing w:line="600" w:lineRule="exact"/>
        <w:ind w:firstLine="640"/>
        <w:rPr>
          <w:rFonts w:ascii="仿宋" w:hAnsi="仿宋" w:eastAsia="仿宋"/>
          <w:sz w:val="32"/>
          <w:szCs w:val="32"/>
        </w:rPr>
      </w:pPr>
      <w:r>
        <w:rPr>
          <w:rFonts w:hint="eastAsia" w:ascii="仿宋" w:hAnsi="仿宋" w:eastAsia="仿宋"/>
          <w:sz w:val="32"/>
          <w:szCs w:val="32"/>
        </w:rPr>
        <w:t>6.社会保障和就业支出（类）行政事业单位离退休（款）机关事业单位基本养老保险缴费支出（项）:反映机关事业单位基本养老保险缴费支出。</w:t>
      </w:r>
    </w:p>
    <w:p>
      <w:pPr>
        <w:spacing w:line="600" w:lineRule="exact"/>
        <w:ind w:firstLine="640"/>
        <w:rPr>
          <w:rFonts w:ascii="仿宋" w:hAnsi="仿宋" w:eastAsia="仿宋"/>
          <w:sz w:val="32"/>
          <w:szCs w:val="32"/>
        </w:rPr>
      </w:pPr>
      <w:r>
        <w:rPr>
          <w:rFonts w:hint="eastAsia" w:ascii="仿宋" w:hAnsi="仿宋" w:eastAsia="仿宋"/>
          <w:sz w:val="32"/>
          <w:szCs w:val="32"/>
        </w:rPr>
        <w:t>7.社会保障和就业支出（类）抚恤（款）其他优抚支出（项）：反映除上述项目以外其他用于优抚方面的支出，包括向优抚对象发放的价格临时补贴、老烈士子女、老党员定期生活补助等支出。</w:t>
      </w:r>
    </w:p>
    <w:p>
      <w:pPr>
        <w:spacing w:line="600" w:lineRule="exact"/>
        <w:ind w:firstLine="640"/>
        <w:rPr>
          <w:rFonts w:ascii="仿宋" w:hAnsi="仿宋" w:eastAsia="仿宋"/>
          <w:sz w:val="32"/>
          <w:szCs w:val="32"/>
        </w:rPr>
      </w:pPr>
      <w:r>
        <w:rPr>
          <w:rFonts w:hint="eastAsia" w:ascii="仿宋" w:hAnsi="仿宋" w:eastAsia="仿宋"/>
          <w:sz w:val="32"/>
          <w:szCs w:val="32"/>
        </w:rPr>
        <w:t>8.社会保障和就业支出（类）退役安置（款）退役士兵安置（项）:反映按规定用于伤残义务兵的一次性建房补助、对符合条件的退役士兵、转业士官的安置支出。</w:t>
      </w:r>
    </w:p>
    <w:p>
      <w:pPr>
        <w:spacing w:line="600" w:lineRule="exact"/>
        <w:ind w:firstLine="640"/>
        <w:rPr>
          <w:rFonts w:ascii="仿宋" w:hAnsi="仿宋" w:eastAsia="仿宋"/>
          <w:sz w:val="32"/>
          <w:szCs w:val="32"/>
        </w:rPr>
      </w:pPr>
      <w:r>
        <w:rPr>
          <w:rFonts w:hint="eastAsia" w:ascii="仿宋" w:hAnsi="仿宋" w:eastAsia="仿宋"/>
          <w:sz w:val="32"/>
          <w:szCs w:val="32"/>
        </w:rPr>
        <w:t>9.社会保障和就业支出（类）退役安置（款）军队转业干部安置（项）:反映军转干部安置、人员经费、自主择业退役金等方面的支出。</w:t>
      </w:r>
    </w:p>
    <w:p>
      <w:pPr>
        <w:spacing w:line="600" w:lineRule="exact"/>
        <w:ind w:firstLine="640"/>
        <w:rPr>
          <w:rFonts w:ascii="仿宋" w:hAnsi="仿宋" w:eastAsia="仿宋"/>
          <w:sz w:val="32"/>
          <w:szCs w:val="32"/>
        </w:rPr>
      </w:pPr>
      <w:r>
        <w:rPr>
          <w:rFonts w:hint="eastAsia" w:ascii="仿宋" w:hAnsi="仿宋" w:eastAsia="仿宋"/>
          <w:sz w:val="32"/>
          <w:szCs w:val="32"/>
        </w:rPr>
        <w:t>10.社会保障和就业支出（类）退役安置（款）其他退役安置支出（项）:反映除上述项目以外其他用于退役安置方面的支出。</w:t>
      </w:r>
    </w:p>
    <w:p>
      <w:pPr>
        <w:spacing w:line="600" w:lineRule="exact"/>
        <w:ind w:firstLine="640"/>
        <w:rPr>
          <w:rFonts w:ascii="仿宋" w:hAnsi="仿宋" w:eastAsia="仿宋"/>
          <w:sz w:val="32"/>
          <w:szCs w:val="32"/>
        </w:rPr>
      </w:pPr>
      <w:r>
        <w:rPr>
          <w:rFonts w:hint="eastAsia" w:ascii="仿宋" w:hAnsi="仿宋" w:eastAsia="仿宋"/>
          <w:sz w:val="32"/>
          <w:szCs w:val="32"/>
        </w:rPr>
        <w:t>11.社会保障和就业支出（类）社会福利（款）儿童福利（项）:反映对儿童提供福利服务方面的支出。</w:t>
      </w:r>
    </w:p>
    <w:p>
      <w:pPr>
        <w:spacing w:line="600" w:lineRule="exact"/>
        <w:ind w:firstLine="640"/>
        <w:rPr>
          <w:rFonts w:ascii="仿宋" w:hAnsi="仿宋" w:eastAsia="仿宋"/>
          <w:sz w:val="32"/>
          <w:szCs w:val="32"/>
        </w:rPr>
      </w:pPr>
      <w:r>
        <w:rPr>
          <w:rFonts w:hint="eastAsia" w:ascii="仿宋" w:hAnsi="仿宋" w:eastAsia="仿宋"/>
          <w:sz w:val="32"/>
          <w:szCs w:val="32"/>
        </w:rPr>
        <w:t>12.社会保障和就业支出（类）退役军人管理事务（款） 行政运行（项）：反映行政单位(包括实行公务员管理的事业单位)的基本支出。</w:t>
      </w:r>
    </w:p>
    <w:p>
      <w:pPr>
        <w:spacing w:line="600" w:lineRule="exact"/>
        <w:ind w:firstLine="640"/>
        <w:rPr>
          <w:rFonts w:ascii="仿宋" w:hAnsi="仿宋" w:eastAsia="仿宋"/>
          <w:sz w:val="32"/>
          <w:szCs w:val="32"/>
        </w:rPr>
      </w:pPr>
      <w:r>
        <w:rPr>
          <w:rFonts w:hint="eastAsia" w:ascii="仿宋" w:hAnsi="仿宋" w:eastAsia="仿宋"/>
          <w:sz w:val="32"/>
          <w:szCs w:val="32"/>
        </w:rPr>
        <w:t>13.社会保障和就业支出（类）退役军人管理事务（款）一般行政管理事务（项）:反映行政单位(包括实行公务员管理的事业单位)未单独设置项级科目的其他项目支出。</w:t>
      </w:r>
    </w:p>
    <w:p>
      <w:pPr>
        <w:spacing w:line="600" w:lineRule="exact"/>
        <w:ind w:firstLine="640"/>
        <w:rPr>
          <w:rFonts w:ascii="仿宋" w:hAnsi="仿宋" w:eastAsia="仿宋"/>
          <w:sz w:val="32"/>
          <w:szCs w:val="32"/>
        </w:rPr>
      </w:pPr>
      <w:r>
        <w:rPr>
          <w:rFonts w:hint="eastAsia" w:ascii="仿宋" w:hAnsi="仿宋" w:eastAsia="仿宋"/>
          <w:sz w:val="32"/>
          <w:szCs w:val="32"/>
        </w:rPr>
        <w:t>14.社会保障和就业支出（类）退役军人管理事务（款）拥军优属（项）:反映开展拥军优属活动的支出。</w:t>
      </w:r>
    </w:p>
    <w:p>
      <w:pPr>
        <w:spacing w:line="600" w:lineRule="exact"/>
        <w:ind w:firstLine="640"/>
        <w:rPr>
          <w:rFonts w:ascii="仿宋" w:hAnsi="仿宋" w:eastAsia="仿宋"/>
          <w:sz w:val="32"/>
          <w:szCs w:val="32"/>
        </w:rPr>
      </w:pPr>
      <w:r>
        <w:rPr>
          <w:rFonts w:hint="eastAsia" w:ascii="仿宋" w:hAnsi="仿宋" w:eastAsia="仿宋"/>
          <w:sz w:val="32"/>
          <w:szCs w:val="32"/>
        </w:rPr>
        <w:t>15.社会保障和就业支出（类）退役军人管理事务（款）其他退役军人事务管理支出（项）:反映除上述行政运行、一般行政管理事务、机关服务、拥军优属、部队供应、事业运行以外其他用于退役军人事务管理方面的支出。</w:t>
      </w:r>
    </w:p>
    <w:p>
      <w:pPr>
        <w:spacing w:line="600" w:lineRule="exact"/>
        <w:ind w:firstLine="640"/>
        <w:rPr>
          <w:rFonts w:ascii="仿宋" w:hAnsi="仿宋" w:eastAsia="仿宋"/>
          <w:sz w:val="32"/>
          <w:szCs w:val="32"/>
        </w:rPr>
      </w:pPr>
    </w:p>
    <w:p>
      <w:pPr>
        <w:spacing w:line="600" w:lineRule="exact"/>
        <w:ind w:firstLine="643" w:firstLineChars="200"/>
        <w:rPr>
          <w:rStyle w:val="15"/>
          <w:rFonts w:ascii="仿宋" w:hAnsi="仿宋" w:eastAsia="仿宋"/>
          <w:bCs/>
          <w:sz w:val="32"/>
          <w:szCs w:val="32"/>
        </w:rPr>
      </w:pPr>
    </w:p>
    <w:p>
      <w:pPr>
        <w:pStyle w:val="2"/>
        <w:spacing w:before="93"/>
        <w:ind w:firstLine="640" w:firstLineChars="200"/>
        <w:rPr>
          <w:rFonts w:ascii="仿宋" w:hAnsi="仿宋" w:eastAsia="仿宋"/>
          <w:kern w:val="2"/>
          <w:sz w:val="32"/>
          <w:szCs w:val="32"/>
        </w:rPr>
      </w:pPr>
    </w:p>
    <w:p>
      <w:pPr>
        <w:spacing w:line="600" w:lineRule="exact"/>
        <w:ind w:firstLine="640"/>
        <w:rPr>
          <w:rFonts w:ascii="仿宋" w:hAnsi="仿宋" w:eastAsia="仿宋"/>
          <w:sz w:val="32"/>
          <w:szCs w:val="32"/>
        </w:rPr>
      </w:pPr>
      <w:r>
        <w:rPr>
          <w:rFonts w:hint="eastAsia" w:ascii="仿宋" w:hAnsi="仿宋" w:eastAsia="仿宋"/>
          <w:sz w:val="32"/>
          <w:szCs w:val="32"/>
        </w:rPr>
        <w:t>16.社会保障和就业支出（类）其他社会保障和就业支出（款）其他社会保障和就业支出（项）:反映除财政代缴社会保险费支出、财政代缴城乡居民基本养老保险费支出、财政代缴其他社会保险费支出以外其他用于社会保障和就业方面的支出。</w:t>
      </w:r>
    </w:p>
    <w:p>
      <w:pPr>
        <w:spacing w:line="600" w:lineRule="exact"/>
        <w:ind w:firstLine="640"/>
        <w:rPr>
          <w:rFonts w:ascii="仿宋" w:hAnsi="仿宋" w:eastAsia="仿宋"/>
          <w:sz w:val="32"/>
          <w:szCs w:val="32"/>
        </w:rPr>
      </w:pPr>
      <w:r>
        <w:rPr>
          <w:rFonts w:hint="eastAsia" w:ascii="仿宋" w:hAnsi="仿宋" w:eastAsia="仿宋"/>
          <w:sz w:val="32"/>
          <w:szCs w:val="32"/>
        </w:rPr>
        <w:t>17.住房保障支出（类）住房改革支出（款） 住房公积金（项）:反映行政事业单位用财政拨款资金和其他资金等安排的住房改革支出。</w:t>
      </w:r>
    </w:p>
    <w:p>
      <w:pPr>
        <w:spacing w:line="600" w:lineRule="exact"/>
        <w:ind w:firstLine="640"/>
        <w:rPr>
          <w:rFonts w:ascii="仿宋" w:hAnsi="仿宋" w:eastAsia="仿宋"/>
          <w:sz w:val="32"/>
          <w:szCs w:val="32"/>
        </w:rPr>
      </w:pPr>
      <w:r>
        <w:rPr>
          <w:rFonts w:hint="eastAsia" w:ascii="仿宋" w:hAnsi="仿宋" w:eastAsia="仿宋"/>
          <w:sz w:val="32"/>
          <w:szCs w:val="32"/>
        </w:rPr>
        <w:t>18.基本支出：指为保障机构正常运转、完成日常工作任务而发生的人员支出和公用支出。</w:t>
      </w:r>
    </w:p>
    <w:p>
      <w:pPr>
        <w:spacing w:line="600" w:lineRule="exact"/>
        <w:ind w:firstLine="640"/>
        <w:rPr>
          <w:rFonts w:ascii="仿宋" w:hAnsi="仿宋" w:eastAsia="仿宋"/>
          <w:sz w:val="32"/>
          <w:szCs w:val="32"/>
        </w:rPr>
      </w:pPr>
      <w:r>
        <w:rPr>
          <w:rFonts w:hint="eastAsia" w:ascii="仿宋" w:hAnsi="仿宋" w:eastAsia="仿宋"/>
          <w:sz w:val="32"/>
          <w:szCs w:val="32"/>
        </w:rPr>
        <w:t xml:space="preserve">19.项目支出：指在基本支出之外为完成特定行政任务和事业发展目标所发生的支出。 </w:t>
      </w:r>
    </w:p>
    <w:p>
      <w:pPr>
        <w:spacing w:line="600" w:lineRule="exact"/>
        <w:ind w:firstLine="640"/>
        <w:rPr>
          <w:rFonts w:ascii="仿宋" w:hAnsi="仿宋" w:eastAsia="仿宋"/>
          <w:sz w:val="32"/>
          <w:szCs w:val="32"/>
        </w:rPr>
      </w:pPr>
      <w:r>
        <w:rPr>
          <w:rFonts w:hint="eastAsia" w:ascii="仿宋" w:hAnsi="仿宋" w:eastAsia="仿宋"/>
          <w:sz w:val="32"/>
          <w:szCs w:val="32"/>
        </w:rPr>
        <w:t>20.经营支出：指事业单位在专业业务活动及其辅助活动之外开展非独立核算经营活动发生的支出。</w:t>
      </w:r>
    </w:p>
    <w:p>
      <w:pPr>
        <w:spacing w:line="600" w:lineRule="exact"/>
        <w:ind w:firstLine="640"/>
        <w:rPr>
          <w:rFonts w:ascii="仿宋" w:hAnsi="仿宋" w:eastAsia="仿宋"/>
          <w:sz w:val="32"/>
          <w:szCs w:val="32"/>
        </w:rPr>
      </w:pPr>
      <w:r>
        <w:rPr>
          <w:rFonts w:hint="eastAsia" w:ascii="仿宋" w:hAnsi="仿宋" w:eastAsia="仿宋"/>
          <w:sz w:val="32"/>
          <w:szCs w:val="32"/>
        </w:rPr>
        <w:t>21.“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ascii="仿宋" w:hAnsi="仿宋" w:eastAsia="仿宋"/>
          <w:sz w:val="32"/>
          <w:szCs w:val="32"/>
        </w:rPr>
      </w:pPr>
      <w:r>
        <w:rPr>
          <w:rFonts w:hint="eastAsia" w:ascii="仿宋" w:hAnsi="仿宋" w:eastAsia="仿宋"/>
          <w:sz w:val="32"/>
          <w:szCs w:val="32"/>
        </w:rPr>
        <w:t>22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bookmarkStart w:id="73" w:name="_Toc15377226"/>
      <w:r>
        <w:rPr>
          <w:rFonts w:ascii="宋体"/>
          <w:b/>
          <w:sz w:val="44"/>
          <w:szCs w:val="44"/>
        </w:rPr>
        <w:br w:type="page"/>
      </w:r>
      <w:bookmarkStart w:id="74" w:name="_Toc15396614"/>
      <w:bookmarkStart w:id="75" w:name="_Toc28932"/>
      <w:r>
        <w:rPr>
          <w:rStyle w:val="25"/>
          <w:rFonts w:hint="eastAsia"/>
        </w:rPr>
        <w:t>第四部分 附件</w:t>
      </w:r>
      <w:bookmarkEnd w:id="74"/>
      <w:bookmarkEnd w:id="75"/>
    </w:p>
    <w:p>
      <w:pPr>
        <w:spacing w:line="572" w:lineRule="exact"/>
        <w:jc w:val="left"/>
        <w:rPr>
          <w:rFonts w:ascii="仿宋_GB2312" w:hAnsi="仿宋_GB2312" w:eastAsia="仿宋_GB2312" w:cs="仿宋_GB2312"/>
          <w:sz w:val="32"/>
          <w:szCs w:val="32"/>
        </w:rPr>
      </w:pPr>
    </w:p>
    <w:p>
      <w:pPr>
        <w:spacing w:line="600" w:lineRule="exact"/>
        <w:ind w:firstLine="640"/>
        <w:rPr>
          <w:rFonts w:ascii="仿宋" w:hAnsi="仿宋" w:eastAsia="仿宋"/>
          <w:sz w:val="32"/>
          <w:szCs w:val="32"/>
        </w:rPr>
      </w:pPr>
      <w:bookmarkStart w:id="76" w:name="_Toc27565"/>
      <w:bookmarkStart w:id="77" w:name="_Toc15396618"/>
      <w:r>
        <w:rPr>
          <w:rFonts w:hint="eastAsia" w:ascii="仿宋" w:hAnsi="仿宋" w:eastAsia="仿宋"/>
          <w:sz w:val="32"/>
          <w:szCs w:val="32"/>
        </w:rPr>
        <w:t>部门预算项目支出绩效自评表（2022年度）见附件</w:t>
      </w:r>
      <w:bookmarkEnd w:id="76"/>
      <w:r>
        <w:rPr>
          <w:rFonts w:hint="eastAsia" w:ascii="仿宋" w:hAnsi="仿宋" w:eastAsia="仿宋"/>
          <w:sz w:val="32"/>
          <w:szCs w:val="32"/>
        </w:rPr>
        <w:t>3</w:t>
      </w:r>
    </w:p>
    <w:p>
      <w:pPr>
        <w:spacing w:line="600" w:lineRule="exact"/>
        <w:jc w:val="left"/>
        <w:rPr>
          <w:rFonts w:ascii="仿宋_GB2312" w:hAnsi="Calibri" w:eastAsia="仿宋_GB2312" w:cs="仿宋"/>
          <w:kern w:val="0"/>
          <w:sz w:val="32"/>
          <w:szCs w:val="32"/>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pStyle w:val="3"/>
        <w:jc w:val="center"/>
      </w:pPr>
      <w:bookmarkStart w:id="78" w:name="_Toc6592"/>
      <w:r>
        <w:rPr>
          <w:rFonts w:hint="eastAsia"/>
        </w:rPr>
        <w:t>第五部分 附表</w:t>
      </w:r>
      <w:bookmarkEnd w:id="73"/>
      <w:bookmarkEnd w:id="77"/>
      <w:bookmarkEnd w:id="78"/>
      <w:bookmarkStart w:id="79" w:name="_Toc15396619"/>
    </w:p>
    <w:p>
      <w:pPr>
        <w:spacing w:line="600" w:lineRule="exact"/>
        <w:ind w:firstLine="640"/>
        <w:rPr>
          <w:rFonts w:ascii="仿宋" w:hAnsi="仿宋" w:eastAsia="仿宋"/>
          <w:sz w:val="32"/>
          <w:szCs w:val="32"/>
        </w:rPr>
      </w:pPr>
      <w:bookmarkStart w:id="80" w:name="_Toc30671"/>
      <w:r>
        <w:rPr>
          <w:rFonts w:hint="eastAsia" w:ascii="仿宋" w:hAnsi="仿宋" w:eastAsia="仿宋"/>
          <w:sz w:val="32"/>
          <w:szCs w:val="32"/>
        </w:rPr>
        <w:t>一、收入支出决算总表</w:t>
      </w:r>
      <w:bookmarkEnd w:id="79"/>
      <w:bookmarkEnd w:id="80"/>
    </w:p>
    <w:p>
      <w:pPr>
        <w:spacing w:line="600" w:lineRule="exact"/>
        <w:ind w:firstLine="640"/>
        <w:rPr>
          <w:rFonts w:ascii="仿宋" w:hAnsi="仿宋" w:eastAsia="仿宋"/>
          <w:sz w:val="32"/>
          <w:szCs w:val="32"/>
        </w:rPr>
      </w:pPr>
      <w:bookmarkStart w:id="81" w:name="_Toc15396620"/>
      <w:bookmarkStart w:id="82" w:name="_Toc7552"/>
      <w:r>
        <w:rPr>
          <w:rFonts w:hint="eastAsia" w:ascii="仿宋" w:hAnsi="仿宋" w:eastAsia="仿宋"/>
          <w:sz w:val="32"/>
          <w:szCs w:val="32"/>
        </w:rPr>
        <w:t>二、收入决算表</w:t>
      </w:r>
      <w:bookmarkEnd w:id="81"/>
      <w:bookmarkEnd w:id="82"/>
    </w:p>
    <w:p>
      <w:pPr>
        <w:spacing w:line="600" w:lineRule="exact"/>
        <w:ind w:firstLine="640"/>
        <w:rPr>
          <w:rFonts w:ascii="仿宋" w:hAnsi="仿宋" w:eastAsia="仿宋"/>
          <w:sz w:val="32"/>
          <w:szCs w:val="32"/>
        </w:rPr>
      </w:pPr>
      <w:bookmarkStart w:id="83" w:name="_Toc17094"/>
      <w:bookmarkStart w:id="84" w:name="_Toc15396621"/>
      <w:r>
        <w:rPr>
          <w:rFonts w:hint="eastAsia" w:ascii="仿宋" w:hAnsi="仿宋" w:eastAsia="仿宋"/>
          <w:sz w:val="32"/>
          <w:szCs w:val="32"/>
        </w:rPr>
        <w:t>三、支出决算表</w:t>
      </w:r>
      <w:bookmarkEnd w:id="83"/>
      <w:bookmarkEnd w:id="84"/>
    </w:p>
    <w:p>
      <w:pPr>
        <w:spacing w:line="600" w:lineRule="exact"/>
        <w:ind w:firstLine="640"/>
        <w:rPr>
          <w:rFonts w:ascii="仿宋" w:hAnsi="仿宋" w:eastAsia="仿宋"/>
          <w:sz w:val="32"/>
          <w:szCs w:val="32"/>
        </w:rPr>
      </w:pPr>
      <w:bookmarkStart w:id="85" w:name="_Toc15396622"/>
      <w:bookmarkStart w:id="86" w:name="_Toc19991"/>
      <w:r>
        <w:rPr>
          <w:rFonts w:hint="eastAsia" w:ascii="仿宋" w:hAnsi="仿宋" w:eastAsia="仿宋"/>
          <w:sz w:val="32"/>
          <w:szCs w:val="32"/>
        </w:rPr>
        <w:t>四、财政拨款收入支出决算总表</w:t>
      </w:r>
      <w:bookmarkEnd w:id="85"/>
      <w:bookmarkEnd w:id="86"/>
    </w:p>
    <w:p>
      <w:pPr>
        <w:spacing w:line="600" w:lineRule="exact"/>
        <w:ind w:firstLine="640"/>
        <w:rPr>
          <w:rFonts w:ascii="仿宋" w:hAnsi="仿宋" w:eastAsia="仿宋"/>
          <w:sz w:val="32"/>
          <w:szCs w:val="32"/>
        </w:rPr>
      </w:pPr>
      <w:bookmarkStart w:id="87" w:name="_Toc16427"/>
      <w:bookmarkStart w:id="88" w:name="_Toc15396623"/>
      <w:r>
        <w:rPr>
          <w:rFonts w:hint="eastAsia" w:ascii="仿宋" w:hAnsi="仿宋" w:eastAsia="仿宋"/>
          <w:sz w:val="32"/>
          <w:szCs w:val="32"/>
        </w:rPr>
        <w:t>五、财政拨款支出决算明细表</w:t>
      </w:r>
      <w:bookmarkEnd w:id="87"/>
      <w:bookmarkEnd w:id="88"/>
      <w:bookmarkStart w:id="89" w:name="_Toc15396624"/>
    </w:p>
    <w:p>
      <w:pPr>
        <w:spacing w:line="600" w:lineRule="exact"/>
        <w:ind w:firstLine="640"/>
        <w:rPr>
          <w:rFonts w:ascii="仿宋" w:hAnsi="仿宋" w:eastAsia="仿宋"/>
          <w:sz w:val="32"/>
          <w:szCs w:val="32"/>
        </w:rPr>
      </w:pPr>
      <w:bookmarkStart w:id="90" w:name="_Toc23941"/>
      <w:r>
        <w:rPr>
          <w:rFonts w:hint="eastAsia" w:ascii="仿宋" w:hAnsi="仿宋" w:eastAsia="仿宋"/>
          <w:sz w:val="32"/>
          <w:szCs w:val="32"/>
        </w:rPr>
        <w:t>六、一般公共预算财政拨款支出决算表</w:t>
      </w:r>
      <w:bookmarkEnd w:id="89"/>
      <w:bookmarkEnd w:id="90"/>
    </w:p>
    <w:p>
      <w:pPr>
        <w:spacing w:line="600" w:lineRule="exact"/>
        <w:ind w:firstLine="640"/>
        <w:rPr>
          <w:rFonts w:ascii="仿宋" w:hAnsi="仿宋" w:eastAsia="仿宋"/>
          <w:sz w:val="32"/>
          <w:szCs w:val="32"/>
        </w:rPr>
      </w:pPr>
      <w:bookmarkStart w:id="91" w:name="_Toc15396625"/>
      <w:bookmarkStart w:id="92" w:name="_Toc23458"/>
      <w:r>
        <w:rPr>
          <w:rFonts w:hint="eastAsia" w:ascii="仿宋" w:hAnsi="仿宋" w:eastAsia="仿宋"/>
          <w:sz w:val="32"/>
          <w:szCs w:val="32"/>
        </w:rPr>
        <w:t>七、一般公共预算财政拨款支出决算明细表</w:t>
      </w:r>
      <w:bookmarkEnd w:id="91"/>
      <w:bookmarkEnd w:id="92"/>
    </w:p>
    <w:p>
      <w:pPr>
        <w:spacing w:line="600" w:lineRule="exact"/>
        <w:ind w:firstLine="640"/>
        <w:rPr>
          <w:rFonts w:ascii="仿宋" w:hAnsi="仿宋" w:eastAsia="仿宋"/>
          <w:sz w:val="32"/>
          <w:szCs w:val="32"/>
        </w:rPr>
      </w:pPr>
      <w:bookmarkStart w:id="93" w:name="_Toc15396626"/>
      <w:bookmarkStart w:id="94" w:name="_Toc3070"/>
      <w:r>
        <w:rPr>
          <w:rFonts w:hint="eastAsia" w:ascii="仿宋" w:hAnsi="仿宋" w:eastAsia="仿宋"/>
          <w:sz w:val="32"/>
          <w:szCs w:val="32"/>
        </w:rPr>
        <w:t>八、一般公共预算财政拨款基本支出决算表</w:t>
      </w:r>
      <w:bookmarkEnd w:id="93"/>
      <w:bookmarkEnd w:id="94"/>
    </w:p>
    <w:p>
      <w:pPr>
        <w:spacing w:line="600" w:lineRule="exact"/>
        <w:ind w:firstLine="640"/>
        <w:rPr>
          <w:rFonts w:ascii="仿宋" w:hAnsi="仿宋" w:eastAsia="仿宋"/>
          <w:sz w:val="32"/>
          <w:szCs w:val="32"/>
        </w:rPr>
      </w:pPr>
      <w:bookmarkStart w:id="95" w:name="_Toc15396627"/>
      <w:bookmarkStart w:id="96" w:name="_Toc13119"/>
      <w:r>
        <w:rPr>
          <w:rFonts w:hint="eastAsia" w:ascii="仿宋" w:hAnsi="仿宋" w:eastAsia="仿宋"/>
          <w:sz w:val="32"/>
          <w:szCs w:val="32"/>
        </w:rPr>
        <w:t>九、一般公共预算财政拨款项目支出决算表</w:t>
      </w:r>
      <w:bookmarkEnd w:id="95"/>
      <w:bookmarkEnd w:id="96"/>
    </w:p>
    <w:p>
      <w:pPr>
        <w:spacing w:line="600" w:lineRule="exact"/>
        <w:ind w:firstLine="640"/>
        <w:rPr>
          <w:rFonts w:ascii="仿宋" w:hAnsi="仿宋" w:eastAsia="仿宋"/>
          <w:sz w:val="32"/>
          <w:szCs w:val="32"/>
        </w:rPr>
      </w:pPr>
      <w:bookmarkStart w:id="97" w:name="_Toc15396628"/>
      <w:bookmarkStart w:id="98" w:name="_Toc11051"/>
      <w:r>
        <w:rPr>
          <w:rFonts w:hint="eastAsia" w:ascii="仿宋" w:hAnsi="仿宋" w:eastAsia="仿宋"/>
          <w:sz w:val="32"/>
          <w:szCs w:val="32"/>
        </w:rPr>
        <w:t>十、</w:t>
      </w:r>
      <w:bookmarkEnd w:id="97"/>
      <w:r>
        <w:rPr>
          <w:rFonts w:hint="eastAsia" w:ascii="仿宋" w:hAnsi="仿宋" w:eastAsia="仿宋"/>
          <w:sz w:val="32"/>
          <w:szCs w:val="32"/>
        </w:rPr>
        <w:t>政府性基金预算财政拨款收入支出决算表</w:t>
      </w:r>
      <w:bookmarkEnd w:id="98"/>
    </w:p>
    <w:p>
      <w:pPr>
        <w:spacing w:line="600" w:lineRule="exact"/>
        <w:ind w:firstLine="640"/>
        <w:rPr>
          <w:rFonts w:ascii="仿宋" w:hAnsi="仿宋" w:eastAsia="仿宋"/>
          <w:sz w:val="32"/>
          <w:szCs w:val="32"/>
        </w:rPr>
      </w:pPr>
      <w:bookmarkStart w:id="99" w:name="_Toc15396629"/>
      <w:bookmarkStart w:id="100" w:name="_Toc30284"/>
      <w:r>
        <w:rPr>
          <w:rFonts w:hint="eastAsia" w:ascii="仿宋" w:hAnsi="仿宋" w:eastAsia="仿宋"/>
          <w:sz w:val="32"/>
          <w:szCs w:val="32"/>
        </w:rPr>
        <w:t>十一、</w:t>
      </w:r>
      <w:bookmarkEnd w:id="99"/>
      <w:r>
        <w:rPr>
          <w:rFonts w:hint="eastAsia" w:ascii="仿宋" w:hAnsi="仿宋" w:eastAsia="仿宋"/>
          <w:sz w:val="32"/>
          <w:szCs w:val="32"/>
        </w:rPr>
        <w:t>国有资本经营预算财政拨款收入支出决算表</w:t>
      </w:r>
      <w:bookmarkEnd w:id="100"/>
    </w:p>
    <w:p>
      <w:pPr>
        <w:spacing w:line="600" w:lineRule="exact"/>
        <w:ind w:firstLine="640"/>
        <w:rPr>
          <w:rFonts w:ascii="仿宋" w:hAnsi="仿宋" w:eastAsia="仿宋"/>
          <w:sz w:val="32"/>
          <w:szCs w:val="32"/>
        </w:rPr>
      </w:pPr>
      <w:bookmarkStart w:id="101" w:name="_Toc15396630"/>
      <w:bookmarkStart w:id="102" w:name="_Toc18537"/>
      <w:r>
        <w:rPr>
          <w:rFonts w:hint="eastAsia" w:ascii="仿宋" w:hAnsi="仿宋" w:eastAsia="仿宋"/>
          <w:sz w:val="32"/>
          <w:szCs w:val="32"/>
        </w:rPr>
        <w:t>十二、</w:t>
      </w:r>
      <w:bookmarkEnd w:id="101"/>
      <w:r>
        <w:rPr>
          <w:rFonts w:hint="eastAsia" w:ascii="仿宋" w:hAnsi="仿宋" w:eastAsia="仿宋"/>
          <w:sz w:val="32"/>
          <w:szCs w:val="32"/>
        </w:rPr>
        <w:t>国有资本经营预算财政拨款支出决算表</w:t>
      </w:r>
      <w:bookmarkEnd w:id="102"/>
    </w:p>
    <w:p>
      <w:pPr>
        <w:spacing w:line="600" w:lineRule="exact"/>
        <w:ind w:firstLine="640"/>
        <w:rPr>
          <w:rFonts w:ascii="仿宋" w:hAnsi="仿宋" w:eastAsia="仿宋"/>
          <w:sz w:val="32"/>
          <w:szCs w:val="32"/>
        </w:rPr>
      </w:pPr>
      <w:bookmarkStart w:id="103" w:name="_Toc15396631"/>
      <w:bookmarkStart w:id="104" w:name="_Toc4868"/>
      <w:r>
        <w:rPr>
          <w:rFonts w:hint="eastAsia" w:ascii="仿宋" w:hAnsi="仿宋" w:eastAsia="仿宋"/>
          <w:sz w:val="32"/>
          <w:szCs w:val="32"/>
        </w:rPr>
        <w:t>十三、</w:t>
      </w:r>
      <w:bookmarkEnd w:id="103"/>
      <w:r>
        <w:rPr>
          <w:rFonts w:hint="eastAsia" w:ascii="仿宋" w:hAnsi="仿宋" w:eastAsia="仿宋"/>
          <w:sz w:val="32"/>
          <w:szCs w:val="32"/>
        </w:rPr>
        <w:t>财政拨款“三公”经费支出决算表</w:t>
      </w:r>
      <w:bookmarkEnd w:id="104"/>
    </w:p>
    <w:p>
      <w:pPr>
        <w:spacing w:line="600" w:lineRule="exact"/>
        <w:ind w:firstLine="640"/>
        <w:rPr>
          <w:rFonts w:ascii="仿宋" w:hAnsi="仿宋" w:eastAsia="仿宋"/>
          <w:sz w:val="32"/>
          <w:szCs w:val="32"/>
        </w:rPr>
      </w:pPr>
    </w:p>
    <w:sectPr>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TY2MjA0MmRjZDlhYzNlY2E1MTM5NjBkNDg2ZD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159EA"/>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B0AA9"/>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10FE"/>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0457FF"/>
    <w:rsid w:val="021112A2"/>
    <w:rsid w:val="023B4716"/>
    <w:rsid w:val="03D1158F"/>
    <w:rsid w:val="03DF7720"/>
    <w:rsid w:val="042F34D8"/>
    <w:rsid w:val="053A62B5"/>
    <w:rsid w:val="06DF3513"/>
    <w:rsid w:val="07E94E08"/>
    <w:rsid w:val="099C70B1"/>
    <w:rsid w:val="0A2032A3"/>
    <w:rsid w:val="0A7A6D37"/>
    <w:rsid w:val="0B0954D3"/>
    <w:rsid w:val="0B8A37D8"/>
    <w:rsid w:val="0C7F660C"/>
    <w:rsid w:val="0DBC505E"/>
    <w:rsid w:val="0F2E39F2"/>
    <w:rsid w:val="0F412F41"/>
    <w:rsid w:val="10022AD1"/>
    <w:rsid w:val="10C055FF"/>
    <w:rsid w:val="118107EC"/>
    <w:rsid w:val="11DD6519"/>
    <w:rsid w:val="12810624"/>
    <w:rsid w:val="12A04F4F"/>
    <w:rsid w:val="15095E33"/>
    <w:rsid w:val="15625E45"/>
    <w:rsid w:val="16BB723D"/>
    <w:rsid w:val="18015F3F"/>
    <w:rsid w:val="18167A61"/>
    <w:rsid w:val="18E36E40"/>
    <w:rsid w:val="19A31EA5"/>
    <w:rsid w:val="1BE8440E"/>
    <w:rsid w:val="1D155CEE"/>
    <w:rsid w:val="20E80E3E"/>
    <w:rsid w:val="20F12551"/>
    <w:rsid w:val="20F57F95"/>
    <w:rsid w:val="216011F3"/>
    <w:rsid w:val="22056B7C"/>
    <w:rsid w:val="234649AA"/>
    <w:rsid w:val="240371BF"/>
    <w:rsid w:val="24B93F38"/>
    <w:rsid w:val="24F608B8"/>
    <w:rsid w:val="25711CC6"/>
    <w:rsid w:val="25C741E6"/>
    <w:rsid w:val="264D28A0"/>
    <w:rsid w:val="26522EA0"/>
    <w:rsid w:val="27842671"/>
    <w:rsid w:val="28100718"/>
    <w:rsid w:val="288B3220"/>
    <w:rsid w:val="28B67AF8"/>
    <w:rsid w:val="293154D6"/>
    <w:rsid w:val="29FD04D3"/>
    <w:rsid w:val="2A6F77B4"/>
    <w:rsid w:val="2ABE7A3E"/>
    <w:rsid w:val="2AD74E2E"/>
    <w:rsid w:val="2B9B1297"/>
    <w:rsid w:val="2C17415F"/>
    <w:rsid w:val="2CA234A8"/>
    <w:rsid w:val="2DA12DDE"/>
    <w:rsid w:val="2E6B6F56"/>
    <w:rsid w:val="2EFA178C"/>
    <w:rsid w:val="30B46D73"/>
    <w:rsid w:val="310F120A"/>
    <w:rsid w:val="319F7F4E"/>
    <w:rsid w:val="324A4137"/>
    <w:rsid w:val="34660EC1"/>
    <w:rsid w:val="348C0A37"/>
    <w:rsid w:val="34E16957"/>
    <w:rsid w:val="36DB371A"/>
    <w:rsid w:val="383D272C"/>
    <w:rsid w:val="38DE516A"/>
    <w:rsid w:val="39147FEE"/>
    <w:rsid w:val="39AC52AD"/>
    <w:rsid w:val="39AE70AB"/>
    <w:rsid w:val="3AEE1457"/>
    <w:rsid w:val="3AF4033A"/>
    <w:rsid w:val="3AF630AE"/>
    <w:rsid w:val="3B5E2819"/>
    <w:rsid w:val="3BC96163"/>
    <w:rsid w:val="3C0C0783"/>
    <w:rsid w:val="3C197B5F"/>
    <w:rsid w:val="3CFB0C50"/>
    <w:rsid w:val="3F76414B"/>
    <w:rsid w:val="3F7B1DD4"/>
    <w:rsid w:val="3F8C5D8F"/>
    <w:rsid w:val="3F9F3A96"/>
    <w:rsid w:val="3FD76A78"/>
    <w:rsid w:val="414F6C6E"/>
    <w:rsid w:val="41EF130C"/>
    <w:rsid w:val="42A47387"/>
    <w:rsid w:val="449F3414"/>
    <w:rsid w:val="44BD5897"/>
    <w:rsid w:val="451505D5"/>
    <w:rsid w:val="46162856"/>
    <w:rsid w:val="48BF60AB"/>
    <w:rsid w:val="48C36EFA"/>
    <w:rsid w:val="493C27E9"/>
    <w:rsid w:val="496F39ED"/>
    <w:rsid w:val="49FF41D3"/>
    <w:rsid w:val="4A3C3059"/>
    <w:rsid w:val="4BE068DB"/>
    <w:rsid w:val="4BF6002B"/>
    <w:rsid w:val="4C9269AF"/>
    <w:rsid w:val="4DC82688"/>
    <w:rsid w:val="4E8A2CE5"/>
    <w:rsid w:val="4ECE2238"/>
    <w:rsid w:val="4F675ED1"/>
    <w:rsid w:val="51DB4B86"/>
    <w:rsid w:val="53972C82"/>
    <w:rsid w:val="54665F48"/>
    <w:rsid w:val="55333C3E"/>
    <w:rsid w:val="576D42A0"/>
    <w:rsid w:val="58056F74"/>
    <w:rsid w:val="5E23660F"/>
    <w:rsid w:val="5EF77271"/>
    <w:rsid w:val="5EF853F3"/>
    <w:rsid w:val="60326087"/>
    <w:rsid w:val="62390D32"/>
    <w:rsid w:val="63950C45"/>
    <w:rsid w:val="64CA39A1"/>
    <w:rsid w:val="64E25108"/>
    <w:rsid w:val="66DA049A"/>
    <w:rsid w:val="6759039D"/>
    <w:rsid w:val="69630ADE"/>
    <w:rsid w:val="6C4A05C8"/>
    <w:rsid w:val="6C6B54E9"/>
    <w:rsid w:val="6CDA5340"/>
    <w:rsid w:val="6CE4167D"/>
    <w:rsid w:val="6D3B1A89"/>
    <w:rsid w:val="6DA57E98"/>
    <w:rsid w:val="6F4D3531"/>
    <w:rsid w:val="71BB2380"/>
    <w:rsid w:val="71BF4EC2"/>
    <w:rsid w:val="72361A07"/>
    <w:rsid w:val="72734D90"/>
    <w:rsid w:val="728E2A1A"/>
    <w:rsid w:val="72966747"/>
    <w:rsid w:val="736B1B84"/>
    <w:rsid w:val="74116287"/>
    <w:rsid w:val="7412278C"/>
    <w:rsid w:val="76546088"/>
    <w:rsid w:val="76856AB9"/>
    <w:rsid w:val="77C16F09"/>
    <w:rsid w:val="791B14BA"/>
    <w:rsid w:val="79E7B28D"/>
    <w:rsid w:val="79E96713"/>
    <w:rsid w:val="7A044199"/>
    <w:rsid w:val="7B6F1AE6"/>
    <w:rsid w:val="7BDB78F5"/>
    <w:rsid w:val="7CAA7279"/>
    <w:rsid w:val="7DFA5FDE"/>
    <w:rsid w:val="7EEB3401"/>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5414</Words>
  <Characters>5948</Characters>
  <Lines>55</Lines>
  <Paragraphs>15</Paragraphs>
  <TotalTime>3</TotalTime>
  <ScaleCrop>false</ScaleCrop>
  <LinksUpToDate>false</LinksUpToDate>
  <CharactersWithSpaces>6076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飞飞鱼</cp:lastModifiedBy>
  <cp:lastPrinted>2023-07-31T02:35:00Z</cp:lastPrinted>
  <dcterms:modified xsi:type="dcterms:W3CDTF">2023-09-18T08:54:37Z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40CF02B1B09B42CEAAF3E193CEA76D99_12</vt:lpwstr>
  </property>
</Properties>
</file>