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78441"/>
      <w:bookmarkStart w:id="2" w:name="_Toc15306267"/>
      <w:bookmarkStart w:id="3" w:name="_Toc15377193"/>
      <w:bookmarkStart w:id="4" w:name="_Toc15396597"/>
      <w:bookmarkStart w:id="5" w:name="_Toc15396475"/>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8"/>
        <w:jc w:val="center"/>
        <w:outlineLvl w:val="9"/>
        <w:rPr>
          <w:rFonts w:hint="eastAsia" w:ascii="Times New Roman" w:eastAsia="方正小标宋简体" w:cs="Times New Roman"/>
          <w:color w:val="auto"/>
          <w:kern w:val="2"/>
          <w:sz w:val="44"/>
          <w:szCs w:val="44"/>
          <w:highlight w:val="none"/>
          <w:lang w:val="en-US" w:eastAsia="zh-CN" w:bidi="ar-SA"/>
        </w:rPr>
      </w:pPr>
      <w:bookmarkStart w:id="6" w:name="_Toc20553"/>
      <w:bookmarkStart w:id="7" w:name="_Toc16700"/>
      <w:r>
        <w:rPr>
          <w:rFonts w:hint="eastAsia" w:ascii="Times New Roman" w:eastAsia="方正小标宋简体" w:cs="Times New Roman"/>
          <w:color w:val="auto"/>
          <w:kern w:val="2"/>
          <w:sz w:val="44"/>
          <w:szCs w:val="44"/>
          <w:highlight w:val="none"/>
          <w:lang w:val="en-US" w:eastAsia="zh-CN" w:bidi="ar-SA"/>
        </w:rPr>
        <w:t>攀枝花市军队离退休干部休养所</w:t>
      </w:r>
      <w:bookmarkEnd w:id="6"/>
      <w:bookmarkEnd w:id="7"/>
    </w:p>
    <w:p>
      <w:pPr>
        <w:pStyle w:val="8"/>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决算</w:t>
      </w:r>
      <w:r>
        <w:rPr>
          <w:rFonts w:hint="eastAsia" w:ascii="Times New Roman" w:eastAsia="方正小标宋简体" w:cs="Times New Roman"/>
          <w:color w:val="auto"/>
          <w:kern w:val="2"/>
          <w:sz w:val="44"/>
          <w:szCs w:val="44"/>
          <w:highlight w:val="none"/>
          <w:lang w:val="en-US" w:eastAsia="zh-CN" w:bidi="ar-SA"/>
        </w:rPr>
        <w:t>公开编制说明</w:t>
      </w:r>
    </w:p>
    <w:p>
      <w:pPr>
        <w:pStyle w:val="19"/>
        <w:outlineLvl w:val="9"/>
        <w:rPr>
          <w:rFonts w:ascii="Times New Roman" w:hAnsi="Times New Roman"/>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pStyle w:val="8"/>
        <w:jc w:val="both"/>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widowControl/>
        <w:jc w:val="center"/>
        <w:rPr>
          <w:rFonts w:hint="eastAsia"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pStyle w:val="2"/>
        <w:rPr>
          <w:rFonts w:hint="eastAsia"/>
        </w:rPr>
      </w:pPr>
    </w:p>
    <w:p>
      <w:pPr>
        <w:pStyle w:val="13"/>
        <w:rPr>
          <w:rFonts w:hint="eastAsia" w:ascii="Times New Roman" w:hAnsi="Times New Roman" w:eastAsia="黑体"/>
          <w:color w:val="auto"/>
          <w:sz w:val="48"/>
          <w:szCs w:val="48"/>
          <w:highlight w:val="none"/>
        </w:rPr>
      </w:pPr>
      <w:r>
        <w:rPr>
          <w:rFonts w:hint="eastAsia" w:ascii="Times New Roman" w:hAnsi="Times New Roman" w:eastAsia="仿宋_GB2312" w:cs="仿宋_GB2312"/>
          <w:color w:val="auto"/>
          <w:sz w:val="32"/>
          <w:szCs w:val="32"/>
          <w:highlight w:val="none"/>
        </w:rPr>
        <w:t>公开时间：</w:t>
      </w:r>
      <w:r>
        <w:rPr>
          <w:rFonts w:hint="eastAsia" w:ascii="Times New Roman" w:hAnsi="Times New Roman" w:eastAsia="仿宋_GB2312" w:cs="仿宋_GB2312"/>
          <w:color w:val="auto"/>
          <w:sz w:val="32"/>
          <w:szCs w:val="32"/>
          <w:highlight w:val="none"/>
          <w:lang w:val="en-US" w:eastAsia="zh-CN"/>
        </w:rPr>
        <w:t xml:space="preserve"> 2025 </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12 </w:t>
      </w:r>
      <w:r>
        <w:rPr>
          <w:rFonts w:hint="eastAsia" w:ascii="Times New Roman" w:hAnsi="Times New Roman" w:eastAsia="仿宋_GB2312" w:cs="仿宋_GB2312"/>
          <w:color w:val="auto"/>
          <w:sz w:val="32"/>
          <w:szCs w:val="32"/>
          <w:highlight w:val="none"/>
        </w:rPr>
        <w:t>日</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TOC \o "1-2" \h \u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黑体" w:cs="黑体"/>
          <w:color w:val="auto"/>
          <w:kern w:val="2"/>
          <w:sz w:val="32"/>
          <w:szCs w:val="32"/>
          <w:highlight w:val="none"/>
          <w:lang w:val="en-US" w:eastAsia="zh-CN" w:bidi="ar-SA"/>
        </w:rPr>
        <w:fldChar w:fldCharType="begin"/>
      </w:r>
      <w:r>
        <w:rPr>
          <w:rFonts w:hint="eastAsia" w:ascii="Times New Roman" w:hAnsi="Times New Roman" w:eastAsia="黑体" w:cs="黑体"/>
          <w:color w:val="auto"/>
          <w:kern w:val="2"/>
          <w:sz w:val="32"/>
          <w:szCs w:val="32"/>
          <w:highlight w:val="none"/>
          <w:lang w:val="en-US" w:eastAsia="zh-CN" w:bidi="ar-SA"/>
        </w:rPr>
        <w:instrText xml:space="preserve"> HYPERLINK \l _Toc31105 </w:instrText>
      </w:r>
      <w:r>
        <w:rPr>
          <w:rFonts w:hint="eastAsia" w:ascii="Times New Roman" w:hAnsi="Times New Roman" w:eastAsia="黑体" w:cs="黑体"/>
          <w:color w:val="auto"/>
          <w:kern w:val="2"/>
          <w:sz w:val="32"/>
          <w:szCs w:val="32"/>
          <w:highlight w:val="none"/>
          <w:lang w:val="en-US" w:eastAsia="zh-CN" w:bidi="ar-SA"/>
        </w:rPr>
        <w:fldChar w:fldCharType="separate"/>
      </w:r>
      <w:r>
        <w:rPr>
          <w:rFonts w:hint="eastAsia" w:ascii="Times New Roman" w:hAnsi="Times New Roman" w:eastAsia="黑体" w:cs="黑体"/>
          <w:color w:val="auto"/>
          <w:kern w:val="2"/>
          <w:sz w:val="32"/>
          <w:szCs w:val="32"/>
          <w:highlight w:val="none"/>
          <w:lang w:val="en-US" w:eastAsia="zh-CN" w:bidi="ar-SA"/>
        </w:rPr>
        <w:t>第一部分 单位概况</w:t>
      </w:r>
      <w:r>
        <w:rPr>
          <w:rFonts w:hint="eastAsia" w:ascii="Times New Roman" w:hAnsi="Times New Roman" w:eastAsia="黑体" w:cs="黑体"/>
          <w:color w:val="auto"/>
          <w:kern w:val="2"/>
          <w:sz w:val="32"/>
          <w:szCs w:val="32"/>
          <w:highlight w:val="none"/>
          <w:lang w:val="en-US" w:eastAsia="zh-CN" w:bidi="ar-SA"/>
        </w:rPr>
        <w:tab/>
      </w:r>
      <w:r>
        <w:rPr>
          <w:rFonts w:hint="eastAsia" w:ascii="Times New Roman" w:hAnsi="Times New Roman" w:eastAsia="黑体" w:cs="黑体"/>
          <w:color w:val="auto"/>
          <w:kern w:val="2"/>
          <w:sz w:val="32"/>
          <w:szCs w:val="32"/>
          <w:highlight w:val="none"/>
          <w:lang w:val="en-US" w:eastAsia="zh-CN" w:bidi="ar-SA"/>
        </w:rPr>
        <w:fldChar w:fldCharType="begin"/>
      </w:r>
      <w:r>
        <w:rPr>
          <w:rFonts w:hint="eastAsia" w:ascii="Times New Roman" w:hAnsi="Times New Roman" w:eastAsia="黑体" w:cs="黑体"/>
          <w:color w:val="auto"/>
          <w:kern w:val="2"/>
          <w:sz w:val="32"/>
          <w:szCs w:val="32"/>
          <w:highlight w:val="none"/>
          <w:lang w:val="en-US" w:eastAsia="zh-CN" w:bidi="ar-SA"/>
        </w:rPr>
        <w:instrText xml:space="preserve"> PAGEREF _Toc31105 \h </w:instrText>
      </w:r>
      <w:r>
        <w:rPr>
          <w:rFonts w:hint="eastAsia" w:ascii="Times New Roman" w:hAnsi="Times New Roman" w:eastAsia="黑体" w:cs="黑体"/>
          <w:color w:val="auto"/>
          <w:kern w:val="2"/>
          <w:sz w:val="32"/>
          <w:szCs w:val="32"/>
          <w:highlight w:val="none"/>
          <w:lang w:val="en-US" w:eastAsia="zh-CN" w:bidi="ar-SA"/>
        </w:rPr>
        <w:fldChar w:fldCharType="separate"/>
      </w:r>
      <w:r>
        <w:rPr>
          <w:rFonts w:hint="eastAsia" w:ascii="Times New Roman" w:hAnsi="Times New Roman" w:eastAsia="黑体" w:cs="黑体"/>
          <w:color w:val="auto"/>
          <w:kern w:val="2"/>
          <w:sz w:val="32"/>
          <w:szCs w:val="32"/>
          <w:highlight w:val="none"/>
          <w:lang w:val="en-US" w:eastAsia="zh-CN" w:bidi="ar-SA"/>
        </w:rPr>
        <w:t>3</w:t>
      </w:r>
      <w:r>
        <w:rPr>
          <w:rFonts w:hint="eastAsia" w:ascii="Times New Roman" w:hAnsi="Times New Roman" w:eastAsia="黑体" w:cs="黑体"/>
          <w:color w:val="auto"/>
          <w:kern w:val="2"/>
          <w:sz w:val="32"/>
          <w:szCs w:val="32"/>
          <w:highlight w:val="none"/>
          <w:lang w:val="en-US" w:eastAsia="zh-CN" w:bidi="ar-SA"/>
        </w:rPr>
        <w:fldChar w:fldCharType="end"/>
      </w:r>
      <w:r>
        <w:rPr>
          <w:rFonts w:hint="eastAsia" w:ascii="Times New Roman" w:hAnsi="Times New Roman" w:eastAsia="黑体" w:cs="黑体"/>
          <w:color w:val="auto"/>
          <w:kern w:val="2"/>
          <w:sz w:val="32"/>
          <w:szCs w:val="32"/>
          <w:highlight w:val="none"/>
          <w:lang w:val="en-US" w:eastAsia="zh-CN" w:bidi="ar-SA"/>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_Toc30311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val="en-US" w:eastAsia="zh-CN"/>
        </w:rPr>
        <w:t>单位</w:t>
      </w:r>
      <w:r>
        <w:rPr>
          <w:rFonts w:hint="default" w:ascii="Times New Roman" w:hAnsi="Times New Roman" w:eastAsia="仿宋_GB2312" w:cs="仿宋_GB2312"/>
          <w:color w:val="auto"/>
          <w:sz w:val="32"/>
          <w:szCs w:val="32"/>
          <w:highlight w:val="none"/>
          <w:lang w:eastAsia="zh-CN"/>
        </w:rPr>
        <w:t>职责</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_Toc30311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_Toc8367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rPr>
        <w:t>二、机构设置</w:t>
      </w:r>
      <w:r>
        <w:rPr>
          <w:rFonts w:hint="eastAsia" w:ascii="Times New Roman" w:hAnsi="Times New Roman" w:eastAsia="仿宋_GB2312" w:cs="仿宋_GB2312"/>
          <w:color w:val="auto"/>
          <w:sz w:val="32"/>
          <w:szCs w:val="32"/>
          <w:highlight w:val="none"/>
        </w:rPr>
        <w:tab/>
      </w:r>
      <w:bookmarkStart w:id="106" w:name="_GoBack"/>
      <w:bookmarkEnd w:id="106"/>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_Toc8367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_Toc29340 </w:instrText>
      </w:r>
      <w:r>
        <w:rPr>
          <w:rFonts w:hint="eastAsia" w:ascii="Times New Roman" w:hAnsi="Times New Roman" w:eastAsia="黑体" w:cs="黑体"/>
          <w:color w:val="auto"/>
          <w:sz w:val="32"/>
          <w:szCs w:val="32"/>
          <w:highlight w:val="none"/>
        </w:rPr>
        <w:fldChar w:fldCharType="separate"/>
      </w:r>
      <w:r>
        <w:rPr>
          <w:rFonts w:hint="default" w:ascii="Times New Roman" w:hAnsi="Times New Roman" w:eastAsia="黑体" w:cs="黑体"/>
          <w:color w:val="auto"/>
          <w:sz w:val="32"/>
          <w:szCs w:val="32"/>
          <w:highlight w:val="none"/>
        </w:rPr>
        <w:t>第二部分</w:t>
      </w:r>
      <w:r>
        <w:rPr>
          <w:rFonts w:hint="default"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lang w:val="en-US" w:eastAsia="zh-CN"/>
        </w:rPr>
        <w:t>单位</w:t>
      </w:r>
      <w:r>
        <w:rPr>
          <w:rFonts w:hint="default" w:ascii="Times New Roman" w:hAnsi="Times New Roman" w:eastAsia="黑体" w:cs="黑体"/>
          <w:color w:val="auto"/>
          <w:sz w:val="32"/>
          <w:szCs w:val="32"/>
          <w:highlight w:val="none"/>
        </w:rPr>
        <w:t>决算情况说明</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_Toc29340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5</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_Toc12153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lang w:eastAsia="zh-CN"/>
        </w:rPr>
        <w:t>一、</w:t>
      </w:r>
      <w:r>
        <w:rPr>
          <w:rFonts w:hint="default" w:ascii="Times New Roman" w:hAnsi="Times New Roman" w:eastAsia="仿宋_GB2312" w:cs="仿宋_GB2312"/>
          <w:color w:val="auto"/>
          <w:sz w:val="32"/>
          <w:szCs w:val="32"/>
          <w:highlight w:val="none"/>
        </w:rPr>
        <w:t>收入支出决算总体情况说明</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_Toc12153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_Toc12841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lang w:eastAsia="zh-CN"/>
        </w:rPr>
        <w:t>二、收入决算情况说明</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_Toc12841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_Toc19121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lang w:eastAsia="zh-CN"/>
        </w:rPr>
        <w:t>三、</w:t>
      </w:r>
      <w:r>
        <w:rPr>
          <w:rFonts w:hint="default" w:ascii="Times New Roman" w:hAnsi="Times New Roman" w:eastAsia="仿宋_GB2312" w:cs="仿宋_GB2312"/>
          <w:color w:val="auto"/>
          <w:sz w:val="32"/>
          <w:szCs w:val="32"/>
          <w:highlight w:val="none"/>
        </w:rPr>
        <w:t>支出决算情况说明</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_Toc19121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6</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_Toc31235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rPr>
        <w:t>四、财政拨款收入支出决算总体情况说明</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_Toc31235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7</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_Toc12603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rPr>
        <w:t>五、一般公共预算财政拨款支出决算情况说明</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_Toc12603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7</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_Toc27704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rPr>
        <w:t>六、一般公共预算财政拨款基本支出决算情况说明</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_Toc27704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10</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_Toc18628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rPr>
        <w:t>七、财政拨款“三公”经费支出决算情况说明</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_Toc18628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11</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_Toc15437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rPr>
        <w:t>八、政府性基金预算支出决算情况说明</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_Toc15437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13</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_Toc28950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lang w:eastAsia="zh-CN"/>
        </w:rPr>
        <w:t>九、</w:t>
      </w:r>
      <w:r>
        <w:rPr>
          <w:rFonts w:hint="default" w:ascii="Times New Roman" w:hAnsi="Times New Roman" w:eastAsia="仿宋_GB2312" w:cs="仿宋_GB2312"/>
          <w:color w:val="auto"/>
          <w:sz w:val="32"/>
          <w:szCs w:val="32"/>
          <w:highlight w:val="none"/>
        </w:rPr>
        <w:t>国有资本经营预算支出决算情况说明</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_Toc28950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13</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_Toc25529 </w:instrText>
      </w:r>
      <w:r>
        <w:rPr>
          <w:rFonts w:hint="eastAsia" w:ascii="Times New Roman" w:hAnsi="Times New Roman" w:eastAsia="仿宋_GB2312" w:cs="仿宋_GB2312"/>
          <w:color w:val="auto"/>
          <w:sz w:val="32"/>
          <w:szCs w:val="32"/>
          <w:highlight w:val="none"/>
        </w:rPr>
        <w:fldChar w:fldCharType="separate"/>
      </w:r>
      <w:r>
        <w:rPr>
          <w:rFonts w:hint="default" w:ascii="Times New Roman" w:hAnsi="Times New Roman" w:eastAsia="仿宋_GB2312" w:cs="仿宋_GB2312"/>
          <w:color w:val="auto"/>
          <w:sz w:val="32"/>
          <w:szCs w:val="32"/>
          <w:highlight w:val="none"/>
          <w:lang w:eastAsia="zh-CN"/>
        </w:rPr>
        <w:t>十、</w:t>
      </w:r>
      <w:r>
        <w:rPr>
          <w:rFonts w:hint="default" w:ascii="Times New Roman" w:hAnsi="Times New Roman" w:eastAsia="仿宋_GB2312" w:cs="仿宋_GB2312"/>
          <w:color w:val="auto"/>
          <w:sz w:val="32"/>
          <w:szCs w:val="32"/>
          <w:highlight w:val="none"/>
        </w:rPr>
        <w:t>其他重要事项的情况说明</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_Toc25529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13</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_Toc23367 </w:instrText>
      </w:r>
      <w:r>
        <w:rPr>
          <w:rFonts w:hint="eastAsia" w:ascii="Times New Roman" w:hAnsi="Times New Roman" w:eastAsia="黑体" w:cs="黑体"/>
          <w:color w:val="auto"/>
          <w:sz w:val="32"/>
          <w:szCs w:val="32"/>
          <w:highlight w:val="none"/>
        </w:rPr>
        <w:fldChar w:fldCharType="separate"/>
      </w:r>
      <w:r>
        <w:rPr>
          <w:rFonts w:hint="default" w:ascii="Times New Roman" w:hAnsi="Times New Roman" w:eastAsia="黑体" w:cs="黑体"/>
          <w:color w:val="auto"/>
          <w:sz w:val="32"/>
          <w:szCs w:val="32"/>
          <w:highlight w:val="none"/>
        </w:rPr>
        <w:t>第</w:t>
      </w:r>
      <w:r>
        <w:rPr>
          <w:rFonts w:hint="default" w:ascii="Times New Roman" w:hAnsi="Times New Roman" w:eastAsia="黑体" w:cs="黑体"/>
          <w:color w:val="auto"/>
          <w:sz w:val="32"/>
          <w:szCs w:val="32"/>
          <w:highlight w:val="none"/>
          <w:lang w:eastAsia="zh-CN"/>
        </w:rPr>
        <w:t>三</w:t>
      </w:r>
      <w:r>
        <w:rPr>
          <w:rFonts w:hint="default" w:ascii="Times New Roman" w:hAnsi="Times New Roman" w:eastAsia="黑体" w:cs="黑体"/>
          <w:color w:val="auto"/>
          <w:sz w:val="32"/>
          <w:szCs w:val="32"/>
          <w:highlight w:val="none"/>
        </w:rPr>
        <w:t>部分</w:t>
      </w:r>
      <w:r>
        <w:rPr>
          <w:rFonts w:hint="default" w:ascii="Times New Roman" w:hAnsi="Times New Roman" w:eastAsia="黑体" w:cs="黑体"/>
          <w:color w:val="auto"/>
          <w:sz w:val="32"/>
          <w:szCs w:val="32"/>
          <w:highlight w:val="none"/>
          <w:lang w:val="en-US" w:eastAsia="zh-CN"/>
        </w:rPr>
        <w:t xml:space="preserve"> </w:t>
      </w:r>
      <w:r>
        <w:rPr>
          <w:rFonts w:hint="default" w:ascii="Times New Roman" w:hAnsi="Times New Roman" w:eastAsia="黑体" w:cs="黑体"/>
          <w:color w:val="auto"/>
          <w:sz w:val="32"/>
          <w:szCs w:val="32"/>
          <w:highlight w:val="none"/>
        </w:rPr>
        <w:t>名词解释</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_Toc23367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14</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_Toc16105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第四部分</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_Toc16105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17</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_Toc19214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_Toc19214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18</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_Toc32691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一、收入支出决算总表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_Toc32691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_Toc7164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二、收入决算表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_Toc7164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_Toc2088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三、支出决算表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_Toc2088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_Toc29054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四、财政拨款收入支出决算总表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_Toc29054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_Toc6430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五、财政拨款支出决算明细表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_Toc6430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_Toc28612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六、一般公共预算财政拨款支出决算表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_Toc28612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_Toc23024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七、一般公共预算财政拨款支出决算明细表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_Toc23024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_Toc3330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八、一般公共预算财政拨款基本支出决算表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_Toc3330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_Toc11069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九、一般公共预算财政拨款项目支出决算表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_Toc11069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_Toc17834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十、政府性基金预算财政拨款收入支出决算表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_Toc17834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_Toc1204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十一、国有资本经营预算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_Toc1204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_Toc5011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eastAsia="zh-CN"/>
        </w:rPr>
        <w:t>国有资本经营预算财政拨款支出决算表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_Toc5011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HYPERLINK \l _Toc24110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十三、</w:t>
      </w:r>
      <w:r>
        <w:rPr>
          <w:rFonts w:hint="eastAsia" w:ascii="Times New Roman" w:hAnsi="Times New Roman" w:eastAsia="仿宋_GB2312" w:cs="仿宋_GB2312"/>
          <w:color w:val="auto"/>
          <w:sz w:val="32"/>
          <w:szCs w:val="32"/>
          <w:highlight w:val="none"/>
          <w:lang w:eastAsia="zh-CN"/>
        </w:rPr>
        <w:t>财政拨款“三公”经费支出决算表</w:t>
      </w:r>
      <w:r>
        <w:rPr>
          <w:rFonts w:hint="eastAsia" w:ascii="Times New Roman" w:hAnsi="Times New Roman" w:eastAsia="仿宋_GB2312" w:cs="仿宋_GB2312"/>
          <w:color w:val="auto"/>
          <w:sz w:val="32"/>
          <w:szCs w:val="32"/>
          <w:highlight w:val="none"/>
        </w:rPr>
        <w:tab/>
      </w: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 PAGEREF _Toc24110 \h </w:instrText>
      </w:r>
      <w:r>
        <w:rPr>
          <w:rFonts w:hint="eastAsia" w:ascii="Times New Roman" w:hAnsi="Times New Roman" w:eastAsia="仿宋_GB2312" w:cs="仿宋_GB2312"/>
          <w:color w:val="auto"/>
          <w:sz w:val="32"/>
          <w:szCs w:val="32"/>
          <w:highlight w:val="none"/>
        </w:rPr>
        <w:fldChar w:fldCharType="separate"/>
      </w:r>
      <w:r>
        <w:rPr>
          <w:rFonts w:hint="eastAsia" w:ascii="Times New Roman" w:hAnsi="Times New Roman" w:eastAsia="仿宋_GB2312" w:cs="仿宋_GB2312"/>
          <w:color w:val="auto"/>
          <w:sz w:val="32"/>
          <w:szCs w:val="32"/>
          <w:highlight w:val="none"/>
        </w:rPr>
        <w:t>18</w:t>
      </w:r>
      <w:r>
        <w:rPr>
          <w:rFonts w:hint="eastAsia" w:ascii="Times New Roman" w:hAnsi="Times New Roman" w:eastAsia="仿宋_GB2312" w:cs="仿宋_GB2312"/>
          <w:color w:val="auto"/>
          <w:sz w:val="32"/>
          <w:szCs w:val="32"/>
          <w:highlight w:val="none"/>
        </w:rPr>
        <w:fldChar w:fldCharType="end"/>
      </w:r>
      <w:r>
        <w:rPr>
          <w:rFonts w:hint="eastAsia" w:ascii="Times New Roman" w:hAnsi="Times New Roman" w:eastAsia="仿宋_GB2312" w:cs="仿宋_GB2312"/>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fldChar w:fldCharType="end"/>
      </w:r>
      <w:bookmarkStart w:id="8" w:name="_Toc15377196"/>
      <w:bookmarkStart w:id="9" w:name="_Toc15396599"/>
      <w:r>
        <w:rPr>
          <w:rFonts w:hint="eastAsia" w:ascii="Times New Roman" w:hAnsi="Times New Roman" w:eastAsia="仿宋_GB2312" w:cs="仿宋_GB2312"/>
          <w:color w:val="auto"/>
          <w:sz w:val="32"/>
          <w:szCs w:val="32"/>
          <w:highlight w:val="none"/>
        </w:rPr>
        <w:br w:type="page"/>
      </w:r>
    </w:p>
    <w:p>
      <w:pPr>
        <w:pStyle w:val="5"/>
        <w:jc w:val="center"/>
        <w:rPr>
          <w:rStyle w:val="28"/>
          <w:rFonts w:hint="eastAsia" w:ascii="Times New Roman" w:hAnsi="Times New Roman" w:eastAsia="方正小标宋简体" w:cs="方正小标宋简体"/>
          <w:b/>
          <w:bCs w:val="0"/>
          <w:color w:val="auto"/>
          <w:highlight w:val="none"/>
        </w:rPr>
      </w:pPr>
      <w:bookmarkStart w:id="10" w:name="_Toc24836"/>
      <w:bookmarkStart w:id="11" w:name="_Toc31105"/>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val="en-US" w:eastAsia="zh-CN"/>
        </w:rPr>
        <w:t>单位</w:t>
      </w:r>
      <w:r>
        <w:rPr>
          <w:rStyle w:val="28"/>
          <w:rFonts w:hint="eastAsia" w:ascii="Times New Roman" w:hAnsi="Times New Roman" w:eastAsia="方正小标宋简体" w:cs="方正小标宋简体"/>
          <w:b w:val="0"/>
          <w:bCs w:val="0"/>
          <w:color w:val="auto"/>
          <w:highlight w:val="none"/>
        </w:rPr>
        <w:t>概况</w:t>
      </w:r>
      <w:bookmarkEnd w:id="8"/>
      <w:bookmarkEnd w:id="9"/>
      <w:bookmarkEnd w:id="10"/>
      <w:bookmarkEnd w:id="11"/>
    </w:p>
    <w:p>
      <w:pPr>
        <w:widowControl/>
        <w:jc w:val="left"/>
        <w:rPr>
          <w:rFonts w:ascii="Times New Roman" w:hAnsi="Times New Roman" w:eastAsia="黑体"/>
          <w:color w:val="auto"/>
          <w:sz w:val="32"/>
          <w:szCs w:val="32"/>
          <w:highlight w:val="none"/>
        </w:rPr>
      </w:pPr>
    </w:p>
    <w:p>
      <w:pPr>
        <w:pStyle w:val="6"/>
        <w:rPr>
          <w:rFonts w:hint="default" w:ascii="Times New Roman" w:hAnsi="Times New Roman" w:eastAsia="黑体" w:cs="Times New Roman"/>
          <w:b w:val="0"/>
          <w:color w:val="auto"/>
          <w:highlight w:val="none"/>
          <w:lang w:eastAsia="zh-CN"/>
        </w:rPr>
      </w:pPr>
      <w:bookmarkStart w:id="12" w:name="_Toc15377197"/>
      <w:bookmarkStart w:id="13" w:name="_Toc15396600"/>
      <w:bookmarkStart w:id="14" w:name="_Toc30311"/>
      <w:r>
        <w:rPr>
          <w:rFonts w:hint="default" w:ascii="Times New Roman" w:hAnsi="Times New Roman" w:eastAsia="黑体" w:cs="Times New Roman"/>
          <w:b w:val="0"/>
          <w:color w:val="auto"/>
          <w:highlight w:val="none"/>
        </w:rPr>
        <w:t>一、</w:t>
      </w:r>
      <w:bookmarkEnd w:id="12"/>
      <w:bookmarkEnd w:id="13"/>
      <w:r>
        <w:rPr>
          <w:rFonts w:hint="eastAsia" w:ascii="Times New Roman" w:hAnsi="Times New Roman" w:eastAsia="黑体" w:cs="Times New Roman"/>
          <w:b w:val="0"/>
          <w:color w:val="auto"/>
          <w:highlight w:val="none"/>
          <w:lang w:val="en-US" w:eastAsia="zh-CN"/>
        </w:rPr>
        <w:t>单位</w:t>
      </w:r>
      <w:r>
        <w:rPr>
          <w:rFonts w:hint="default" w:ascii="Times New Roman" w:hAnsi="Times New Roman" w:eastAsia="黑体" w:cs="Times New Roman"/>
          <w:b w:val="0"/>
          <w:color w:val="auto"/>
          <w:highlight w:val="none"/>
          <w:lang w:eastAsia="zh-CN"/>
        </w:rPr>
        <w:t>职责</w:t>
      </w:r>
      <w:bookmarkEnd w:id="14"/>
    </w:p>
    <w:p>
      <w:pPr>
        <w:ind w:firstLine="800"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负责军地双方上级职能部门审核认定的军休干部接收安置、配合部队做好军休干部的接收进所工作，负责落实军休干部移交地方组织关系转移、参加地方医保、落户等有关的事宜。组织军休干部学习中央、省、市有关文件，参加党支部各项活动，定期过党组织生活。定期或不定期召开军休干部座谈会，重大节日开展慰问活动。安排好军休干部的文化生活，增强军休干部体质，丰富军休人员的晚年生活。及时足额发放军休干部退休费、医疗费，无军籍职工、军休遗属医疗费生活补助。为符合条件的军休干部申报发放护理费，符合条件的家属、遗属申报发放医疗补助、生活补助。积极开展卫生知识教育和医疗保健活动，定期组织退休干部体检。</w:t>
      </w:r>
    </w:p>
    <w:p>
      <w:pPr>
        <w:pStyle w:val="6"/>
        <w:rPr>
          <w:rStyle w:val="29"/>
          <w:rFonts w:hint="default" w:ascii="Times New Roman" w:hAnsi="Times New Roman" w:cs="Times New Roman"/>
          <w:b w:val="0"/>
          <w:bCs w:val="0"/>
          <w:color w:val="auto"/>
          <w:highlight w:val="none"/>
        </w:rPr>
      </w:pPr>
      <w:bookmarkStart w:id="15" w:name="_Toc8367"/>
      <w:bookmarkStart w:id="16" w:name="_Toc15377200"/>
      <w:bookmarkStart w:id="17" w:name="_Toc15396601"/>
      <w:r>
        <w:rPr>
          <w:rFonts w:hint="default" w:ascii="Times New Roman" w:hAnsi="Times New Roman" w:eastAsia="黑体" w:cs="Times New Roman"/>
          <w:b w:val="0"/>
          <w:color w:val="auto"/>
          <w:highlight w:val="none"/>
        </w:rPr>
        <w:t>二、机</w:t>
      </w:r>
      <w:r>
        <w:rPr>
          <w:rStyle w:val="29"/>
          <w:rFonts w:hint="default" w:ascii="Times New Roman" w:hAnsi="Times New Roman" w:eastAsia="黑体" w:cs="Times New Roman"/>
          <w:b w:val="0"/>
          <w:bCs w:val="0"/>
          <w:color w:val="auto"/>
          <w:highlight w:val="none"/>
        </w:rPr>
        <w:t>构设置</w:t>
      </w:r>
      <w:bookmarkEnd w:id="15"/>
      <w:bookmarkEnd w:id="16"/>
      <w:bookmarkEnd w:id="17"/>
    </w:p>
    <w:p>
      <w:pPr>
        <w:ind w:firstLine="800" w:firstLineChars="25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攀枝花市军队离退休干部休养所为攀枝花市退役军人事务局下属全额拨款公益一类事业单位，机构编制数11个，其中管理岗位6个，专业技术岗位3个，工勤技能岗位2个。</w:t>
      </w:r>
      <w:r>
        <w:rPr>
          <w:rFonts w:hint="eastAsia"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年末在编人员11人，退休人员</w:t>
      </w:r>
      <w:r>
        <w:rPr>
          <w:rFonts w:hint="eastAsia" w:eastAsia="仿宋_GB2312" w:cs="Times New Roman"/>
          <w:color w:val="auto"/>
          <w:sz w:val="32"/>
          <w:szCs w:val="32"/>
          <w:highlight w:val="none"/>
          <w:lang w:val="en-US" w:eastAsia="zh-CN"/>
        </w:rPr>
        <w:t>36</w:t>
      </w:r>
      <w:r>
        <w:rPr>
          <w:rFonts w:hint="default" w:ascii="Times New Roman" w:hAnsi="Times New Roman" w:eastAsia="仿宋_GB2312" w:cs="Times New Roman"/>
          <w:color w:val="auto"/>
          <w:sz w:val="32"/>
          <w:szCs w:val="32"/>
          <w:highlight w:val="none"/>
        </w:rPr>
        <w:t>人。</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攀枝花市军队离退休干部休养所</w:t>
      </w:r>
      <w:r>
        <w:rPr>
          <w:rFonts w:hint="eastAsia" w:eastAsia="仿宋_GB2312" w:cs="Times New Roman"/>
          <w:color w:val="auto"/>
          <w:sz w:val="32"/>
          <w:szCs w:val="32"/>
          <w:highlight w:val="none"/>
          <w:lang w:val="en-US" w:eastAsia="zh-CN"/>
        </w:rPr>
        <w:t>无下属单位。</w:t>
      </w:r>
    </w:p>
    <w:p>
      <w:pPr>
        <w:pStyle w:val="8"/>
        <w:adjustRightInd w:val="0"/>
        <w:snapToGrid w:val="0"/>
        <w:spacing w:before="93" w:line="600" w:lineRule="exact"/>
        <w:ind w:firstLine="672" w:firstLineChars="210"/>
        <w:rPr>
          <w:rFonts w:hint="default" w:ascii="Times New Roman" w:hAnsi="Times New Roman" w:eastAsia="仿宋_GB2312" w:cs="Times New Roman"/>
          <w:color w:val="auto"/>
          <w:sz w:val="32"/>
          <w:szCs w:val="32"/>
          <w:highlight w:val="none"/>
        </w:rPr>
      </w:pPr>
      <w:r>
        <w:rPr>
          <w:rFonts w:hint="default" w:ascii="Times New Roman" w:hAnsi="Times New Roman" w:cs="Times New Roman"/>
          <w:sz w:val="32"/>
          <w:szCs w:val="32"/>
        </w:rPr>
        <w:t>攀枝花市军队离退休干部休养所</w:t>
      </w:r>
      <w:r>
        <w:rPr>
          <w:rFonts w:hint="eastAsia" w:ascii="Times New Roman" w:cs="Times New Roman"/>
          <w:sz w:val="32"/>
          <w:szCs w:val="32"/>
          <w:lang w:val="en-US" w:eastAsia="zh-CN"/>
        </w:rPr>
        <w:t>作为二级预算单位</w:t>
      </w:r>
      <w:r>
        <w:rPr>
          <w:rFonts w:hint="default" w:ascii="Times New Roman" w:hAnsi="Times New Roman" w:eastAsia="仿宋_GB2312" w:cs="Times New Roman"/>
          <w:color w:val="auto"/>
          <w:sz w:val="32"/>
          <w:szCs w:val="32"/>
          <w:highlight w:val="none"/>
        </w:rPr>
        <w:t>纳入</w:t>
      </w:r>
      <w:r>
        <w:rPr>
          <w:rFonts w:hint="default" w:ascii="Times New Roman" w:hAnsi="Times New Roman" w:cs="Times New Roman"/>
          <w:sz w:val="32"/>
          <w:szCs w:val="32"/>
        </w:rPr>
        <w:t>攀枝花市军队离退休干部休养所</w:t>
      </w:r>
      <w:r>
        <w:rPr>
          <w:rFonts w:hint="default" w:ascii="Times New Roman" w:hAnsi="Times New Roman" w:eastAsia="仿宋_GB2312" w:cs="Times New Roman"/>
          <w:color w:val="auto"/>
          <w:sz w:val="32"/>
          <w:szCs w:val="32"/>
          <w:highlight w:val="none"/>
          <w:lang w:eastAsia="zh-CN"/>
        </w:rPr>
        <w:t>2024年度</w:t>
      </w:r>
      <w:r>
        <w:rPr>
          <w:rFonts w:hint="default" w:ascii="Times New Roman" w:hAnsi="Times New Roman" w:eastAsia="仿宋_GB2312" w:cs="Times New Roman"/>
          <w:color w:val="auto"/>
          <w:sz w:val="32"/>
          <w:szCs w:val="32"/>
          <w:highlight w:val="none"/>
        </w:rPr>
        <w:t>部门决算编制范围</w:t>
      </w:r>
      <w:r>
        <w:rPr>
          <w:rFonts w:hint="eastAsia" w:ascii="Times New Roman" w:cs="Times New Roman"/>
          <w:color w:val="auto"/>
          <w:sz w:val="32"/>
          <w:szCs w:val="32"/>
          <w:highlight w:val="none"/>
          <w:lang w:eastAsia="zh-CN"/>
        </w:rPr>
        <w:t>。</w:t>
      </w:r>
    </w:p>
    <w:p>
      <w:pPr>
        <w:pStyle w:val="8"/>
        <w:numPr>
          <w:ilvl w:val="0"/>
          <w:numId w:val="0"/>
        </w:numPr>
        <w:adjustRightInd w:val="0"/>
        <w:snapToGrid w:val="0"/>
        <w:spacing w:before="93" w:line="600" w:lineRule="exact"/>
        <w:ind w:left="672" w:leftChars="0"/>
        <w:outlineLvl w:val="9"/>
        <w:rPr>
          <w:rFonts w:hint="default" w:ascii="Times New Roman" w:hAnsi="Times New Roman" w:eastAsia="仿宋_GB2312" w:cs="Times New Roman"/>
          <w:color w:val="auto"/>
          <w:sz w:val="32"/>
          <w:szCs w:val="32"/>
          <w:highlight w:val="none"/>
        </w:rPr>
      </w:pPr>
    </w:p>
    <w:p>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5"/>
        <w:jc w:val="center"/>
        <w:rPr>
          <w:rFonts w:hint="default" w:ascii="Times New Roman" w:hAnsi="Times New Roman" w:eastAsia="方正小标宋简体" w:cs="Times New Roman"/>
          <w:b w:val="0"/>
          <w:color w:val="auto"/>
          <w:highlight w:val="none"/>
        </w:rPr>
      </w:pPr>
      <w:bookmarkStart w:id="18" w:name="_Toc15377204"/>
      <w:bookmarkStart w:id="19" w:name="_Toc8626"/>
      <w:bookmarkStart w:id="20" w:name="_Toc15396602"/>
      <w:bookmarkStart w:id="21" w:name="_Toc29340"/>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eastAsia" w:eastAsia="方正小标宋简体" w:cs="Times New Roman"/>
          <w:b w:val="0"/>
          <w:color w:val="auto"/>
          <w:highlight w:val="none"/>
          <w:lang w:val="en-US" w:eastAsia="zh-CN"/>
        </w:rPr>
        <w:t>单位</w:t>
      </w:r>
      <w:r>
        <w:rPr>
          <w:rFonts w:hint="default" w:ascii="Times New Roman" w:hAnsi="Times New Roman" w:eastAsia="方正小标宋简体" w:cs="Times New Roman"/>
          <w:b w:val="0"/>
          <w:color w:val="auto"/>
          <w:highlight w:val="none"/>
        </w:rPr>
        <w:t>决算情况说明</w:t>
      </w:r>
      <w:bookmarkEnd w:id="18"/>
      <w:bookmarkEnd w:id="19"/>
      <w:bookmarkEnd w:id="20"/>
      <w:bookmarkEnd w:id="21"/>
    </w:p>
    <w:p>
      <w:pPr>
        <w:rPr>
          <w:rFonts w:hint="default" w:ascii="Times New Roman" w:hAnsi="Times New Roman" w:cs="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22" w:name="_Toc15396603"/>
      <w:bookmarkStart w:id="23" w:name="_Toc12153"/>
      <w:bookmarkStart w:id="24" w:name="_Toc15377205"/>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22"/>
      <w:bookmarkEnd w:id="23"/>
      <w:bookmarkEnd w:id="24"/>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897.72</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val="en-US" w:eastAsia="zh-CN"/>
        </w:rPr>
        <w:t>均</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0.35</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0.04</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_GB2312" w:cs="Times New Roman"/>
          <w:color w:val="auto"/>
          <w:sz w:val="32"/>
          <w:szCs w:val="32"/>
          <w:highlight w:val="none"/>
          <w:lang w:val="en-US" w:eastAsia="zh-CN"/>
        </w:rPr>
        <w:t>军休干部定期增资。</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94615</wp:posOffset>
            </wp:positionH>
            <wp:positionV relativeFrom="paragraph">
              <wp:posOffset>252095</wp:posOffset>
            </wp:positionV>
            <wp:extent cx="5256530" cy="2988310"/>
            <wp:effectExtent l="5080" t="4445" r="15240" b="17145"/>
            <wp:wrapTight wrapText="bothSides">
              <wp:wrapPolygon>
                <wp:start x="-21" y="-32"/>
                <wp:lineTo x="-21" y="21449"/>
                <wp:lineTo x="21506" y="21449"/>
                <wp:lineTo x="21506" y="-32"/>
                <wp:lineTo x="-21" y="-32"/>
              </wp:wrapPolygon>
            </wp:wrapTight>
            <wp:docPr id="2" name="图表 2" descr="7b0a202020202263686172745265734964223a202232303437363935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25" w:name="_Toc12841"/>
      <w:bookmarkStart w:id="26" w:name="_Toc15396604"/>
      <w:bookmarkStart w:id="27" w:name="_Toc15377206"/>
      <w:r>
        <w:rPr>
          <w:rFonts w:hint="default" w:ascii="Times New Roman" w:hAnsi="Times New Roman" w:eastAsia="黑体" w:cs="Times New Roman"/>
          <w:color w:val="auto"/>
          <w:sz w:val="32"/>
          <w:szCs w:val="32"/>
          <w:highlight w:val="none"/>
          <w:lang w:eastAsia="zh-CN"/>
        </w:rPr>
        <w:t>二、收入决算情况说明</w:t>
      </w:r>
      <w:bookmarkEnd w:id="25"/>
      <w:bookmarkEnd w:id="26"/>
      <w:bookmarkEnd w:id="2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895.85万元，其中：一般公共预算财政拨款收入772.85</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86.27</w:t>
      </w:r>
      <w:r>
        <w:rPr>
          <w:rFonts w:hint="default" w:ascii="Times New Roman" w:hAnsi="Times New Roman" w:eastAsia="仿宋_GB2312" w:cs="Times New Roman"/>
          <w:color w:val="auto"/>
          <w:sz w:val="32"/>
          <w:szCs w:val="32"/>
          <w:highlight w:val="none"/>
          <w:lang w:eastAsia="zh-CN"/>
        </w:rPr>
        <w:t>%；其他收入</w:t>
      </w:r>
      <w:r>
        <w:rPr>
          <w:rFonts w:hint="default" w:ascii="Times New Roman" w:hAnsi="Times New Roman" w:eastAsia="仿宋_GB2312" w:cs="Times New Roman"/>
          <w:sz w:val="32"/>
          <w:szCs w:val="32"/>
        </w:rPr>
        <w:t>123</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13.7</w:t>
      </w:r>
      <w:r>
        <w:rPr>
          <w:rFonts w:hint="eastAsia" w:eastAsia="仿宋_GB2312" w:cs="Times New Roman"/>
          <w:sz w:val="32"/>
          <w:szCs w:val="32"/>
          <w:lang w:val="en-US" w:eastAsia="zh-CN"/>
        </w:rPr>
        <w:t>3</w:t>
      </w:r>
      <w:r>
        <w:rPr>
          <w:rFonts w:hint="default" w:ascii="Times New Roman" w:hAnsi="Times New Roman" w:eastAsia="仿宋_GB2312" w:cs="Times New Roman"/>
          <w:color w:val="auto"/>
          <w:sz w:val="32"/>
          <w:szCs w:val="32"/>
          <w:highlight w:val="none"/>
          <w:lang w:eastAsia="zh-CN"/>
        </w:rPr>
        <w:t>%。</w:t>
      </w:r>
    </w:p>
    <w:p>
      <w:pPr>
        <w:rPr>
          <w:rFonts w:hint="default" w:ascii="Times New Roman" w:hAnsi="Times New Roman" w:eastAsia="黑体"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61595</wp:posOffset>
            </wp:positionH>
            <wp:positionV relativeFrom="paragraph">
              <wp:posOffset>273050</wp:posOffset>
            </wp:positionV>
            <wp:extent cx="5256530" cy="2988310"/>
            <wp:effectExtent l="5080" t="4445" r="15240" b="17145"/>
            <wp:wrapSquare wrapText="bothSides"/>
            <wp:docPr id="4" name="图表 4" descr="7b0a202020202263686172745265734964223a2022323034373634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（图2：收入决算结构图）</w:t>
      </w:r>
      <w:bookmarkStart w:id="28" w:name="_Toc15377207"/>
      <w:bookmarkStart w:id="29" w:name="_Toc15396605"/>
      <w:bookmarkStart w:id="30" w:name="_Toc19121"/>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28"/>
      <w:bookmarkEnd w:id="29"/>
      <w:bookmarkEnd w:id="30"/>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897.72</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226.25</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25.2</w:t>
      </w:r>
      <w:r>
        <w:rPr>
          <w:rFonts w:hint="eastAsia" w:eastAsia="仿宋_GB2312" w:cs="Times New Roman"/>
          <w:sz w:val="32"/>
          <w:szCs w:val="32"/>
          <w:lang w:val="en-US" w:eastAsia="zh-CN"/>
        </w:rPr>
        <w:t>0</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671.47</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74.</w:t>
      </w:r>
      <w:r>
        <w:rPr>
          <w:rFonts w:hint="eastAsia" w:eastAsia="仿宋_GB2312" w:cs="Times New Roman"/>
          <w:sz w:val="32"/>
          <w:szCs w:val="32"/>
          <w:lang w:val="en-US" w:eastAsia="zh-CN"/>
        </w:rPr>
        <w:t>80</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89535</wp:posOffset>
            </wp:positionH>
            <wp:positionV relativeFrom="paragraph">
              <wp:posOffset>116205</wp:posOffset>
            </wp:positionV>
            <wp:extent cx="5256530" cy="2988310"/>
            <wp:effectExtent l="5080" t="4445" r="15240" b="17145"/>
            <wp:wrapSquare wrapText="bothSides"/>
            <wp:docPr id="5" name="图表 5" descr="7b0a202020202263686172745265734964223a2022323034373634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（图3：支出决算结构图）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p>
    <w:p>
      <w:p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31" w:name="_Toc15377208"/>
      <w:bookmarkStart w:id="32" w:name="_Toc15396606"/>
      <w:bookmarkStart w:id="33" w:name="_Toc31235"/>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31"/>
      <w:bookmarkEnd w:id="32"/>
      <w:bookmarkEnd w:id="33"/>
    </w:p>
    <w:p>
      <w:pPr>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772.85</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万元。与2023年度相比，财政拨款收入总计、支出总计均</w:t>
      </w:r>
      <w:r>
        <w:rPr>
          <w:rFonts w:hint="eastAsia" w:eastAsia="仿宋_GB2312" w:cs="Times New Roman"/>
          <w:color w:val="auto"/>
          <w:kern w:val="2"/>
          <w:sz w:val="32"/>
          <w:szCs w:val="32"/>
          <w:highlight w:val="none"/>
          <w:lang w:val="en-US" w:eastAsia="zh-CN" w:bidi="ar-SA"/>
        </w:rPr>
        <w:t>减少</w:t>
      </w:r>
      <w:r>
        <w:rPr>
          <w:rFonts w:hint="eastAsia" w:eastAsia="仿宋_GB2312" w:cs="Times New Roman"/>
          <w:sz w:val="32"/>
          <w:szCs w:val="32"/>
          <w:lang w:val="en-US" w:eastAsia="zh-CN"/>
        </w:rPr>
        <w:t>82.88</w:t>
      </w:r>
      <w:r>
        <w:rPr>
          <w:rFonts w:hint="default" w:ascii="Times New Roman" w:hAnsi="Times New Roman" w:eastAsia="仿宋_GB2312" w:cs="Times New Roman"/>
          <w:color w:val="auto"/>
          <w:kern w:val="2"/>
          <w:sz w:val="32"/>
          <w:szCs w:val="32"/>
          <w:highlight w:val="none"/>
          <w:lang w:val="en-US" w:eastAsia="zh-CN" w:bidi="ar-SA"/>
        </w:rPr>
        <w:t>万元，</w:t>
      </w:r>
      <w:r>
        <w:rPr>
          <w:rFonts w:hint="eastAsia" w:eastAsia="仿宋_GB2312" w:cs="Times New Roman"/>
          <w:color w:val="auto"/>
          <w:kern w:val="2"/>
          <w:sz w:val="32"/>
          <w:szCs w:val="32"/>
          <w:highlight w:val="none"/>
          <w:lang w:val="en-US" w:eastAsia="zh-CN" w:bidi="ar-SA"/>
        </w:rPr>
        <w:t>下降9.69</w:t>
      </w:r>
      <w:r>
        <w:rPr>
          <w:rFonts w:hint="default" w:ascii="Times New Roman" w:hAnsi="Times New Roman" w:eastAsia="仿宋_GB2312" w:cs="Times New Roman"/>
          <w:color w:val="auto"/>
          <w:kern w:val="2"/>
          <w:sz w:val="32"/>
          <w:szCs w:val="32"/>
          <w:highlight w:val="none"/>
          <w:lang w:val="en-US" w:eastAsia="zh-CN" w:bidi="ar-SA"/>
        </w:rPr>
        <w:t>%。主要变动原因是</w:t>
      </w:r>
      <w:r>
        <w:rPr>
          <w:rFonts w:hint="eastAsia" w:eastAsia="仿宋_GB2312" w:cs="Times New Roman"/>
          <w:color w:val="auto"/>
          <w:kern w:val="2"/>
          <w:sz w:val="32"/>
          <w:szCs w:val="32"/>
          <w:highlight w:val="none"/>
          <w:lang w:val="en-US" w:eastAsia="zh-CN" w:bidi="ar-SA"/>
        </w:rPr>
        <w:t>2024年去世军休干部人员死亡抚恤费未下达。</w:t>
      </w:r>
    </w:p>
    <w:p>
      <w:pPr>
        <w:spacing w:line="600" w:lineRule="exact"/>
        <w:ind w:firstLine="1280" w:firstLineChars="40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165100</wp:posOffset>
            </wp:positionH>
            <wp:positionV relativeFrom="paragraph">
              <wp:posOffset>126365</wp:posOffset>
            </wp:positionV>
            <wp:extent cx="5256530" cy="2861310"/>
            <wp:effectExtent l="4445" t="4445" r="15875" b="10795"/>
            <wp:wrapSquare wrapText="bothSides"/>
            <wp:docPr id="7" name="图表 7" descr="7b0a202020202263686172745265734964223a202232303437363935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p>
    <w:p>
      <w:p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34" w:name="_Toc12603"/>
      <w:bookmarkStart w:id="35" w:name="_Toc15377209"/>
      <w:bookmarkStart w:id="36"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34"/>
      <w:bookmarkEnd w:id="35"/>
      <w:bookmarkEnd w:id="36"/>
    </w:p>
    <w:p>
      <w:pPr>
        <w:spacing w:line="600" w:lineRule="exact"/>
        <w:ind w:firstLine="643" w:firstLineChars="200"/>
        <w:outlineLvl w:val="9"/>
        <w:rPr>
          <w:rFonts w:hint="default" w:ascii="Times New Roman" w:hAnsi="Times New Roman" w:eastAsia="楷体_GB2312" w:cs="Times New Roman"/>
          <w:b/>
          <w:color w:val="auto"/>
          <w:sz w:val="32"/>
          <w:szCs w:val="32"/>
          <w:highlight w:val="none"/>
        </w:rPr>
      </w:pPr>
      <w:bookmarkStart w:id="37"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37"/>
    </w:p>
    <w:p>
      <w:pPr>
        <w:spacing w:line="600" w:lineRule="exact"/>
        <w:ind w:firstLine="640"/>
        <w:rPr>
          <w:rFonts w:hint="eastAsia"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772.85</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86.09</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w:t>
      </w:r>
      <w:r>
        <w:rPr>
          <w:rFonts w:hint="eastAsia" w:eastAsia="仿宋_GB2312" w:cs="Times New Roman"/>
          <w:color w:val="auto"/>
          <w:kern w:val="2"/>
          <w:sz w:val="32"/>
          <w:szCs w:val="32"/>
          <w:highlight w:val="none"/>
          <w:lang w:val="en-US" w:eastAsia="zh-CN" w:bidi="ar-SA"/>
        </w:rPr>
        <w:t>减少</w:t>
      </w:r>
      <w:r>
        <w:rPr>
          <w:rFonts w:hint="eastAsia" w:eastAsia="仿宋_GB2312" w:cs="Times New Roman"/>
          <w:sz w:val="32"/>
          <w:szCs w:val="32"/>
          <w:highlight w:val="none"/>
          <w:lang w:val="en-US" w:eastAsia="zh-CN"/>
        </w:rPr>
        <w:t>82.88万元</w:t>
      </w:r>
      <w:r>
        <w:rPr>
          <w:rFonts w:hint="default"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下降9.69</w:t>
      </w:r>
      <w:r>
        <w:rPr>
          <w:rFonts w:hint="default" w:ascii="Times New Roman" w:hAnsi="Times New Roman" w:eastAsia="仿宋_GB2312" w:cs="Times New Roman"/>
          <w:color w:val="auto"/>
          <w:kern w:val="2"/>
          <w:sz w:val="32"/>
          <w:szCs w:val="32"/>
          <w:highlight w:val="none"/>
          <w:lang w:val="en-US" w:eastAsia="zh-CN" w:bidi="ar-SA"/>
        </w:rPr>
        <w:t>%。主要变动原因是</w:t>
      </w:r>
      <w:r>
        <w:rPr>
          <w:rFonts w:hint="eastAsia" w:eastAsia="仿宋_GB2312" w:cs="Times New Roman"/>
          <w:color w:val="auto"/>
          <w:kern w:val="2"/>
          <w:sz w:val="32"/>
          <w:szCs w:val="32"/>
          <w:highlight w:val="none"/>
          <w:lang w:val="en-US" w:eastAsia="zh-CN" w:bidi="ar-SA"/>
        </w:rPr>
        <w:t>2024年去世军休干部人员死亡抚恤费未下达。</w:t>
      </w:r>
    </w:p>
    <w:p>
      <w:pPr>
        <w:pStyle w:val="2"/>
        <w:rPr>
          <w:rFonts w:hint="eastAsia" w:eastAsia="仿宋_GB2312" w:cs="Times New Roman"/>
          <w:color w:val="auto"/>
          <w:kern w:val="2"/>
          <w:sz w:val="32"/>
          <w:szCs w:val="32"/>
          <w:highlight w:val="none"/>
          <w:lang w:val="en-US" w:eastAsia="zh-CN" w:bidi="ar-SA"/>
        </w:rPr>
      </w:pPr>
    </w:p>
    <w:p>
      <w:pPr>
        <w:pStyle w:val="3"/>
        <w:rPr>
          <w:rFonts w:hint="eastAsia" w:eastAsia="仿宋_GB2312" w:cs="Times New Roman"/>
          <w:color w:val="auto"/>
          <w:kern w:val="2"/>
          <w:sz w:val="32"/>
          <w:szCs w:val="32"/>
          <w:highlight w:val="none"/>
          <w:lang w:val="en-US" w:eastAsia="zh-CN" w:bidi="ar-SA"/>
        </w:rPr>
      </w:pPr>
    </w:p>
    <w:p>
      <w:pPr>
        <w:pStyle w:val="3"/>
        <w:ind w:left="0" w:leftChars="0" w:firstLine="0" w:firstLineChars="0"/>
        <w:rPr>
          <w:rFonts w:hint="default"/>
          <w:lang w:val="en-US" w:eastAsia="zh-CN"/>
        </w:rPr>
      </w:pPr>
      <w:r>
        <w:rPr>
          <w:rFonts w:hint="eastAsia" w:ascii="Times New Roman" w:hAnsi="Times New Roman" w:eastAsia="仿宋_GB2312" w:cs="Times New Roman"/>
          <w:color w:val="auto"/>
          <w:sz w:val="32"/>
          <w:szCs w:val="32"/>
          <w:highlight w:val="none"/>
          <w:lang w:eastAsia="zh-CN"/>
        </w:rPr>
        <w:drawing>
          <wp:anchor distT="0" distB="0" distL="114300" distR="114300" simplePos="0" relativeHeight="251663360" behindDoc="1" locked="0" layoutInCell="1" allowOverlap="1">
            <wp:simplePos x="0" y="0"/>
            <wp:positionH relativeFrom="column">
              <wp:posOffset>-37465</wp:posOffset>
            </wp:positionH>
            <wp:positionV relativeFrom="paragraph">
              <wp:posOffset>296545</wp:posOffset>
            </wp:positionV>
            <wp:extent cx="5256530" cy="2861310"/>
            <wp:effectExtent l="4445" t="4445" r="15875" b="10795"/>
            <wp:wrapTight wrapText="bothSides">
              <wp:wrapPolygon>
                <wp:start x="-18" y="-34"/>
                <wp:lineTo x="-18" y="21538"/>
                <wp:lineTo x="21509" y="21538"/>
                <wp:lineTo x="21509" y="-34"/>
                <wp:lineTo x="-18" y="-34"/>
              </wp:wrapPolygon>
            </wp:wrapTight>
            <wp:docPr id="8" name="图表 8" descr="7b0a202020202263686172745265734964223a202232303437363935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w:t>
      </w:r>
    </w:p>
    <w:p>
      <w:pPr>
        <w:spacing w:line="600" w:lineRule="exact"/>
        <w:ind w:firstLine="643" w:firstLineChars="200"/>
        <w:outlineLvl w:val="9"/>
        <w:rPr>
          <w:rFonts w:hint="default" w:ascii="Times New Roman" w:hAnsi="Times New Roman" w:eastAsia="楷体_GB2312" w:cs="Times New Roman"/>
          <w:b/>
          <w:color w:val="auto"/>
          <w:sz w:val="32"/>
          <w:szCs w:val="32"/>
          <w:highlight w:val="none"/>
        </w:rPr>
      </w:pPr>
      <w:bookmarkStart w:id="38"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38"/>
    </w:p>
    <w:p>
      <w:pPr>
        <w:spacing w:line="600" w:lineRule="exact"/>
        <w:ind w:firstLine="640"/>
        <w:rPr>
          <w:rFonts w:hint="eastAsia" w:eastAsia="仿宋_GB2312" w:cs="Times New Roman"/>
          <w:sz w:val="32"/>
          <w:szCs w:val="32"/>
          <w:lang w:val="en-US" w:eastAsia="zh-CN"/>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772.85</w:t>
      </w:r>
      <w:r>
        <w:rPr>
          <w:rFonts w:hint="default" w:ascii="Times New Roman" w:hAnsi="Times New Roman" w:eastAsia="仿宋_GB2312" w:cs="Times New Roman"/>
          <w:color w:val="auto"/>
          <w:kern w:val="2"/>
          <w:sz w:val="32"/>
          <w:szCs w:val="32"/>
          <w:highlight w:val="none"/>
          <w:lang w:val="en-US" w:eastAsia="zh-CN" w:bidi="ar-SA"/>
        </w:rPr>
        <w:t>万元，主要用于以下方面：</w:t>
      </w:r>
      <w:r>
        <w:rPr>
          <w:rFonts w:hint="default" w:ascii="Times New Roman" w:hAnsi="Times New Roman" w:eastAsia="仿宋_GB2312" w:cs="Times New Roman"/>
          <w:sz w:val="32"/>
          <w:szCs w:val="32"/>
          <w:lang w:val="en-US" w:eastAsia="zh-CN"/>
        </w:rPr>
        <w:t>社会保障和就业支出745.36万元，占96.44%；卫生健康支出12.31万元，占1.59%；住房保障支出15.18万元，占1.97%</w:t>
      </w:r>
      <w:r>
        <w:rPr>
          <w:rFonts w:hint="eastAsia" w:eastAsia="仿宋_GB2312" w:cs="Times New Roman"/>
          <w:sz w:val="32"/>
          <w:szCs w:val="32"/>
          <w:lang w:val="en-US" w:eastAsia="zh-CN"/>
        </w:rPr>
        <w:t>。</w:t>
      </w:r>
    </w:p>
    <w:p>
      <w:pPr>
        <w:pStyle w:val="2"/>
        <w:rPr>
          <w:rFonts w:hint="default" w:eastAsia="仿宋_GB2312" w:cs="Times New Roman"/>
          <w:sz w:val="32"/>
          <w:szCs w:val="32"/>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2600325</wp:posOffset>
                </wp:positionH>
                <wp:positionV relativeFrom="paragraph">
                  <wp:posOffset>-2555240</wp:posOffset>
                </wp:positionV>
                <wp:extent cx="1132840" cy="211455"/>
                <wp:effectExtent l="635" t="4445" r="9525" b="12700"/>
                <wp:wrapNone/>
                <wp:docPr id="10" name="直接连接符 10"/>
                <wp:cNvGraphicFramePr/>
                <a:graphic xmlns:a="http://schemas.openxmlformats.org/drawingml/2006/main">
                  <a:graphicData uri="http://schemas.microsoft.com/office/word/2010/wordprocessingShape">
                    <wps:wsp>
                      <wps:cNvCnPr/>
                      <wps:spPr>
                        <a:xfrm flipV="1">
                          <a:off x="3743325" y="2773045"/>
                          <a:ext cx="1132840" cy="211455"/>
                        </a:xfrm>
                        <a:prstGeom prst="line">
                          <a:avLst/>
                        </a:prstGeom>
                        <a:ln w="6350">
                          <a:solidFill>
                            <a:schemeClr val="bg1">
                              <a:lumMod val="7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04.75pt;margin-top:-201.2pt;height:16.65pt;width:89.2pt;z-index:251665408;mso-width-relative:page;mso-height-relative:page;" filled="f" stroked="t" coordsize="21600,21600" o:gfxdata="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td232wAAAA0BAAAPAAAAAAAAAAEAIAAAACIA&#10;AABkcnMvZG93bnJldi54bWxQSwECFAAUAAAACACHTuJArFmCdQYCAADZAwAADgAAAAAAAAABACAA&#10;AAAqAQAAZHJzL2Uyb0RvYy54bWxQSwUGAAAAAAYABgBZAQAAogUAAAAA&#10;">
                <v:fill on="f" focussize="0,0"/>
                <v:stroke weight="0.5pt" color="#BFBFBF [2412]" joinstyle="round"/>
                <v:imagedata o:title=""/>
                <o:lock v:ext="edit" aspectratio="f"/>
              </v:line>
            </w:pict>
          </mc:Fallback>
        </mc:AlternateContent>
      </w:r>
      <w:r>
        <w:rPr>
          <w:rFonts w:hint="default" w:ascii="Times New Roman" w:hAnsi="Times New Roman" w:eastAsia="仿宋_GB2312" w:cs="Times New Roman"/>
          <w:b/>
          <w:bCs/>
          <w:color w:val="auto"/>
          <w:sz w:val="32"/>
          <w:szCs w:val="32"/>
          <w:highlight w:val="none"/>
          <w:lang w:eastAsia="zh-CN"/>
        </w:rPr>
        <w:drawing>
          <wp:anchor distT="0" distB="0" distL="114300" distR="114300" simplePos="0" relativeHeight="251664384" behindDoc="1" locked="0" layoutInCell="1" allowOverlap="1">
            <wp:simplePos x="0" y="0"/>
            <wp:positionH relativeFrom="column">
              <wp:posOffset>47625</wp:posOffset>
            </wp:positionH>
            <wp:positionV relativeFrom="paragraph">
              <wp:posOffset>257810</wp:posOffset>
            </wp:positionV>
            <wp:extent cx="5256530" cy="2988310"/>
            <wp:effectExtent l="5080" t="4445" r="15240" b="17145"/>
            <wp:wrapTight wrapText="bothSides">
              <wp:wrapPolygon>
                <wp:start x="-21" y="-32"/>
                <wp:lineTo x="-21" y="21449"/>
                <wp:lineTo x="21506" y="21449"/>
                <wp:lineTo x="21506" y="-32"/>
                <wp:lineTo x="-21" y="-32"/>
              </wp:wrapPolygon>
            </wp:wrapTight>
            <wp:docPr id="9" name="图表 9" descr="7b0a202020202263686172745265734964223a2022323034373634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3" w:firstLineChars="200"/>
        <w:outlineLvl w:val="9"/>
        <w:rPr>
          <w:rFonts w:hint="default" w:ascii="Times New Roman" w:hAnsi="Times New Roman" w:eastAsia="楷体_GB2312" w:cs="Times New Roman"/>
          <w:b/>
          <w:color w:val="auto"/>
          <w:sz w:val="32"/>
          <w:szCs w:val="32"/>
          <w:highlight w:val="none"/>
        </w:rPr>
      </w:pPr>
      <w:bookmarkStart w:id="39"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39"/>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40" w:name="_Toc15377213"/>
      <w:bookmarkStart w:id="41" w:name="_Toc15377444"/>
      <w:bookmarkStart w:id="42" w:name="_Toc15378460"/>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highlight w:val="none"/>
        </w:rPr>
        <w:t>772.85</w:t>
      </w:r>
      <w:r>
        <w:rPr>
          <w:rFonts w:hint="eastAsia" w:eastAsia="仿宋_GB2312" w:cs="Times New Roman"/>
          <w:sz w:val="32"/>
          <w:szCs w:val="32"/>
          <w:highlight w:val="none"/>
          <w:lang w:val="en-US" w:eastAsia="zh-CN"/>
        </w:rPr>
        <w:t>万元</w:t>
      </w:r>
      <w:r>
        <w:rPr>
          <w:rFonts w:hint="default" w:ascii="Times New Roman" w:hAnsi="Times New Roman" w:eastAsia="仿宋_GB2312" w:cs="Times New Roman"/>
          <w:color w:val="auto"/>
          <w:kern w:val="2"/>
          <w:sz w:val="32"/>
          <w:szCs w:val="32"/>
          <w:highlight w:val="none"/>
          <w:lang w:val="en-US" w:eastAsia="zh-CN" w:bidi="ar-SA"/>
        </w:rPr>
        <w:t>，完成预算100.00%。其中：</w:t>
      </w:r>
      <w:bookmarkEnd w:id="40"/>
      <w:bookmarkEnd w:id="41"/>
      <w:bookmarkEnd w:id="42"/>
    </w:p>
    <w:p>
      <w:pPr>
        <w:numPr>
          <w:ilvl w:val="0"/>
          <w:numId w:val="0"/>
        </w:numPr>
        <w:spacing w:line="60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1.社会保障和就业（类）行政事业单位养老支出（款）事业单位离退休（项）：支出决算为34.96万元，完成预算100.00%，决算数与预算数持平。</w:t>
      </w:r>
    </w:p>
    <w:p>
      <w:pPr>
        <w:pStyle w:val="2"/>
        <w:numPr>
          <w:ilvl w:val="0"/>
          <w:numId w:val="0"/>
        </w:numPr>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2.社会保障和就业（类）行政事业单位养老支出（款）机业关事单位基本养老保险缴费支出（项）：支出决算为20.22万元，完成预算100.00%，决算数与预算数持平。</w:t>
      </w:r>
    </w:p>
    <w:p>
      <w:pPr>
        <w:pStyle w:val="3"/>
        <w:widowControl w:val="0"/>
        <w:numPr>
          <w:ilvl w:val="0"/>
          <w:numId w:val="0"/>
        </w:numPr>
        <w:spacing w:after="120"/>
        <w:ind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t>3.社会保障和就业（类）退役安置（款）军队移交政府的离退休人员安置（项）：支出决算为420.42万元，完成预算100.00%，决算数与预算数持平。</w:t>
      </w:r>
    </w:p>
    <w:p>
      <w:pPr>
        <w:pStyle w:val="3"/>
        <w:widowControl w:val="0"/>
        <w:numPr>
          <w:ilvl w:val="0"/>
          <w:numId w:val="0"/>
        </w:numPr>
        <w:spacing w:after="120"/>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4.社会保障和就业（类）退役安置（款）军队移交政府离退休干部管理机构（项）：支出决算为265.02万元，完成预算100.00%，决算数与预算数持平。</w:t>
      </w:r>
    </w:p>
    <w:p>
      <w:pPr>
        <w:pStyle w:val="3"/>
        <w:widowControl w:val="0"/>
        <w:numPr>
          <w:ilvl w:val="0"/>
          <w:numId w:val="0"/>
        </w:numPr>
        <w:spacing w:after="120"/>
        <w:ind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t>5.社会保障和就业（类）退役安置（款）其他退役安置支出（项）：支出决算为4.74万元，完成预算100.00%，决算数与预算数持平。</w:t>
      </w:r>
    </w:p>
    <w:p>
      <w:pPr>
        <w:pStyle w:val="3"/>
        <w:widowControl w:val="0"/>
        <w:numPr>
          <w:ilvl w:val="0"/>
          <w:numId w:val="0"/>
        </w:numPr>
        <w:spacing w:after="120"/>
        <w:ind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t>6.卫生健康支出（类）行政事业单位医疗（款）事业单位医疗（项）：支出决算为9.73万元，完成预算100.00%，决算数与预算数持平。</w:t>
      </w:r>
    </w:p>
    <w:p>
      <w:pPr>
        <w:pStyle w:val="3"/>
        <w:widowControl w:val="0"/>
        <w:numPr>
          <w:ilvl w:val="0"/>
          <w:numId w:val="0"/>
        </w:numPr>
        <w:spacing w:after="120"/>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7.卫生健康支出（类）行政事业单位医疗（款）公务员医疗补助（项）：支出决算为1.32万元，完成预算100.00%，决算数与预算数持平。</w:t>
      </w:r>
    </w:p>
    <w:p>
      <w:pPr>
        <w:pStyle w:val="3"/>
        <w:widowControl w:val="0"/>
        <w:numPr>
          <w:ilvl w:val="0"/>
          <w:numId w:val="0"/>
        </w:numPr>
        <w:spacing w:after="120"/>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8.卫生健康（类）行政事业单位医疗（款）其他行政事业单位医疗支出（项）：支出决算为1.26万元，完成预算100.00%，决算数与预算数持平。</w:t>
      </w:r>
    </w:p>
    <w:p>
      <w:pPr>
        <w:pStyle w:val="3"/>
        <w:widowControl w:val="0"/>
        <w:numPr>
          <w:ilvl w:val="0"/>
          <w:numId w:val="0"/>
        </w:numPr>
        <w:spacing w:after="120"/>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9.住房保障支出（类）住房改革支出（款）住房公积金（项）：支出决算为1.26万元，完成预算100.00%，决算数与预算数持平。</w:t>
      </w:r>
    </w:p>
    <w:p>
      <w:pPr>
        <w:tabs>
          <w:tab w:val="right" w:pos="8306"/>
        </w:tabs>
        <w:spacing w:line="600" w:lineRule="exact"/>
        <w:ind w:firstLine="640"/>
        <w:outlineLvl w:val="1"/>
        <w:rPr>
          <w:rStyle w:val="29"/>
          <w:rFonts w:hint="default" w:ascii="Times New Roman" w:hAnsi="Times New Roman" w:cs="Times New Roman"/>
          <w:color w:val="auto"/>
          <w:highlight w:val="none"/>
        </w:rPr>
      </w:pPr>
      <w:bookmarkStart w:id="43" w:name="_Toc27704"/>
      <w:bookmarkStart w:id="44" w:name="_Toc15377214"/>
      <w:bookmarkStart w:id="45"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43"/>
      <w:bookmarkEnd w:id="44"/>
      <w:bookmarkEnd w:id="45"/>
      <w:r>
        <w:rPr>
          <w:rStyle w:val="29"/>
          <w:rFonts w:hint="default" w:ascii="Times New Roman" w:hAnsi="Times New Roman" w:eastAsia="黑体" w:cs="Times New Roman"/>
          <w:b w:val="0"/>
          <w:color w:val="auto"/>
          <w:highlight w:val="none"/>
        </w:rPr>
        <w:tab/>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224.38</w:t>
      </w:r>
      <w:r>
        <w:rPr>
          <w:rFonts w:hint="default" w:ascii="Times New Roman" w:hAnsi="Times New Roman" w:eastAsia="仿宋_GB2312" w:cs="Times New Roman"/>
          <w:color w:val="auto"/>
          <w:kern w:val="2"/>
          <w:sz w:val="32"/>
          <w:szCs w:val="32"/>
          <w:highlight w:val="none"/>
          <w:lang w:val="en-US" w:eastAsia="zh-CN" w:bidi="ar-SA"/>
        </w:rPr>
        <w:t>万元，其中：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210.63</w:t>
      </w:r>
      <w:r>
        <w:rPr>
          <w:rFonts w:hint="default" w:ascii="Times New Roman" w:hAnsi="Times New Roman" w:eastAsia="仿宋_GB2312" w:cs="Times New Roman"/>
          <w:color w:val="auto"/>
          <w:kern w:val="2"/>
          <w:sz w:val="32"/>
          <w:szCs w:val="32"/>
          <w:highlight w:val="none"/>
          <w:lang w:val="en-US" w:eastAsia="zh-CN" w:bidi="ar-SA"/>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13.75</w:t>
      </w:r>
      <w:r>
        <w:rPr>
          <w:rFonts w:hint="default" w:ascii="Times New Roman" w:hAnsi="Times New Roman" w:eastAsia="仿宋_GB2312" w:cs="Times New Roman"/>
          <w:color w:val="auto"/>
          <w:kern w:val="2"/>
          <w:sz w:val="32"/>
          <w:szCs w:val="32"/>
          <w:highlight w:val="none"/>
          <w:lang w:val="en-US" w:eastAsia="zh-CN" w:bidi="ar-SA"/>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hint="default" w:ascii="Times New Roman" w:hAnsi="Times New Roman" w:eastAsia="黑体" w:cs="Times New Roman"/>
          <w:b w:val="0"/>
          <w:color w:val="auto"/>
          <w:highlight w:val="none"/>
        </w:rPr>
      </w:pPr>
      <w:bookmarkStart w:id="46" w:name="_Toc18628"/>
      <w:bookmarkStart w:id="47" w:name="_Toc15377215"/>
      <w:bookmarkStart w:id="48" w:name="_Toc15396609"/>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46"/>
      <w:bookmarkEnd w:id="47"/>
      <w:bookmarkEnd w:id="48"/>
    </w:p>
    <w:p>
      <w:pPr>
        <w:spacing w:line="600" w:lineRule="exact"/>
        <w:ind w:firstLine="643" w:firstLineChars="200"/>
        <w:outlineLvl w:val="9"/>
        <w:rPr>
          <w:rFonts w:hint="default" w:ascii="Times New Roman" w:hAnsi="Times New Roman" w:eastAsia="楷体_GB2312" w:cs="Times New Roman"/>
          <w:b/>
          <w:color w:val="auto"/>
          <w:sz w:val="32"/>
          <w:szCs w:val="32"/>
          <w:highlight w:val="none"/>
        </w:rPr>
      </w:pPr>
      <w:bookmarkStart w:id="49"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49"/>
    </w:p>
    <w:p>
      <w:pPr>
        <w:pStyle w:val="3"/>
        <w:widowControl w:val="0"/>
        <w:numPr>
          <w:ilvl w:val="0"/>
          <w:numId w:val="0"/>
        </w:numPr>
        <w:spacing w:after="120"/>
        <w:ind w:firstLine="640" w:firstLineChars="200"/>
        <w:jc w:val="both"/>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%，较上年度减少0.11万元，下降7.69%。决算数与预算数持平。</w:t>
      </w:r>
    </w:p>
    <w:p>
      <w:pPr>
        <w:spacing w:line="600" w:lineRule="exact"/>
        <w:ind w:firstLine="643" w:firstLineChars="200"/>
        <w:outlineLvl w:val="9"/>
        <w:rPr>
          <w:rFonts w:hint="default" w:ascii="Times New Roman" w:hAnsi="Times New Roman" w:eastAsia="楷体_GB2312" w:cs="Times New Roman"/>
          <w:b/>
          <w:color w:val="auto"/>
          <w:sz w:val="32"/>
          <w:szCs w:val="32"/>
          <w:highlight w:val="none"/>
        </w:rPr>
      </w:pPr>
      <w:bookmarkStart w:id="50"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50"/>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color w:val="auto"/>
          <w:kern w:val="2"/>
          <w:sz w:val="32"/>
          <w:szCs w:val="32"/>
          <w:highlight w:val="none"/>
          <w:lang w:val="en-US" w:eastAsia="zh-CN" w:bidi="ar-SA"/>
        </w:rPr>
        <w:t>万元，占0.00%；公务用车购置及运行维护费支出决算</w:t>
      </w:r>
      <w:r>
        <w:rPr>
          <w:rFonts w:hint="default" w:ascii="Times New Roman" w:hAnsi="Times New Roman" w:eastAsia="仿宋_GB2312" w:cs="Times New Roman"/>
          <w:sz w:val="32"/>
          <w:szCs w:val="32"/>
        </w:rPr>
        <w:t>1.12</w:t>
      </w:r>
      <w:r>
        <w:rPr>
          <w:rFonts w:hint="default" w:ascii="Times New Roman" w:hAnsi="Times New Roman" w:eastAsia="仿宋_GB2312" w:cs="Times New Roman"/>
          <w:color w:val="auto"/>
          <w:kern w:val="2"/>
          <w:sz w:val="32"/>
          <w:szCs w:val="32"/>
          <w:highlight w:val="none"/>
          <w:lang w:val="en-US" w:eastAsia="zh-CN" w:bidi="ar-SA"/>
        </w:rPr>
        <w:t>万元，占84.85%；公务接待费支出决算</w:t>
      </w:r>
      <w:r>
        <w:rPr>
          <w:rFonts w:hint="default" w:ascii="Times New Roman" w:hAnsi="Times New Roman" w:eastAsia="仿宋_GB2312" w:cs="Times New Roman"/>
          <w:sz w:val="32"/>
          <w:szCs w:val="32"/>
        </w:rPr>
        <w:t>0.2</w:t>
      </w:r>
      <w:r>
        <w:rPr>
          <w:rFonts w:hint="default" w:ascii="Times New Roman" w:hAnsi="Times New Roman" w:eastAsia="仿宋_GB2312" w:cs="Times New Roman"/>
          <w:color w:val="auto"/>
          <w:kern w:val="2"/>
          <w:sz w:val="32"/>
          <w:szCs w:val="32"/>
          <w:highlight w:val="none"/>
          <w:lang w:val="en-US" w:eastAsia="zh-CN" w:bidi="ar-SA"/>
        </w:rPr>
        <w:t>万元，占15.15%。具体情况如下：</w:t>
      </w:r>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eastAsia="zh-CN"/>
        </w:rPr>
        <w:drawing>
          <wp:anchor distT="0" distB="0" distL="114300" distR="114300" simplePos="0" relativeHeight="251666432" behindDoc="0" locked="0" layoutInCell="1" allowOverlap="1">
            <wp:simplePos x="0" y="0"/>
            <wp:positionH relativeFrom="column">
              <wp:posOffset>132715</wp:posOffset>
            </wp:positionH>
            <wp:positionV relativeFrom="paragraph">
              <wp:posOffset>412750</wp:posOffset>
            </wp:positionV>
            <wp:extent cx="5256530" cy="2988310"/>
            <wp:effectExtent l="5080" t="4445" r="15240" b="17145"/>
            <wp:wrapSquare wrapText="bothSides"/>
            <wp:docPr id="11" name="图表 11" descr="7b0a202020202263686172745265734964223a2022323034373634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1292" w:firstLineChars="404"/>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（图7：“三公”经费财政拨款支出结构）</w:t>
      </w:r>
    </w:p>
    <w:p>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1.因公出国（境）经费支出0.00万元，完成预算0.00%。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人。因公出国（境）支出决算与上年持平。</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2.公务用车购置及运行维护费支出1.12万元，完成预算100.00%。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公务用车购置及运行维护费支出决算比2023年度减少0.05万元，下降4.27%。主要原因是单位加强车辆管理，细化车辆维修费用标准，有效降低了车辆维修维护成本。</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eastAsia" w:eastAsia="仿宋_GB2312" w:cs="Times New Roman"/>
          <w:sz w:val="32"/>
          <w:szCs w:val="32"/>
          <w:lang w:val="en-US" w:eastAsia="zh-CN"/>
        </w:rPr>
        <w:t>.00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万元。全年按规定更新购置公务用车0辆，其中：轿车0辆、金额0.00万元，越野车0辆、金额0.00万元，载客汽车0辆、金额0.00万元。截至2024年12月31日，单位共有公务用车1辆，其中：轿车</w:t>
      </w:r>
      <w:r>
        <w:rPr>
          <w:rFonts w:hint="eastAsia"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辆、越野车0辆、载客汽车0辆。</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1.12</w:t>
      </w:r>
      <w:r>
        <w:rPr>
          <w:rFonts w:hint="default" w:ascii="Times New Roman" w:hAnsi="Times New Roman" w:eastAsia="仿宋_GB2312" w:cs="Times New Roman"/>
          <w:color w:val="auto"/>
          <w:kern w:val="2"/>
          <w:sz w:val="32"/>
          <w:szCs w:val="32"/>
          <w:highlight w:val="none"/>
          <w:lang w:val="en-US" w:eastAsia="zh-CN" w:bidi="ar-SA"/>
        </w:rPr>
        <w:t>万元。主要用于保障单位正常运转及完成军休干部服务管理等工作任务所需的公务用车燃料费、维修费、过路过桥费、保险费等支出。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3.公务接待费支出0.2</w:t>
      </w:r>
      <w:r>
        <w:rPr>
          <w:rFonts w:hint="eastAsia" w:eastAsia="仿宋_GB2312" w:cs="Times New Roman"/>
          <w:b/>
          <w:bCs/>
          <w:color w:val="auto"/>
          <w:kern w:val="2"/>
          <w:sz w:val="32"/>
          <w:szCs w:val="32"/>
          <w:highlight w:val="none"/>
          <w:lang w:val="en-US" w:eastAsia="zh-CN" w:bidi="ar-SA"/>
        </w:rPr>
        <w:t>0</w:t>
      </w:r>
      <w:r>
        <w:rPr>
          <w:rFonts w:hint="default" w:ascii="Times New Roman" w:hAnsi="Times New Roman" w:eastAsia="仿宋_GB2312" w:cs="Times New Roman"/>
          <w:b/>
          <w:bCs/>
          <w:color w:val="auto"/>
          <w:kern w:val="2"/>
          <w:sz w:val="32"/>
          <w:szCs w:val="32"/>
          <w:highlight w:val="none"/>
          <w:lang w:val="en-US" w:eastAsia="zh-CN" w:bidi="ar-SA"/>
        </w:rPr>
        <w:t>万元，完成预算</w:t>
      </w:r>
      <w:r>
        <w:rPr>
          <w:rFonts w:hint="eastAsia" w:eastAsia="仿宋_GB2312" w:cs="Times New Roman"/>
          <w:b/>
          <w:bCs/>
          <w:color w:val="auto"/>
          <w:kern w:val="2"/>
          <w:sz w:val="32"/>
          <w:szCs w:val="32"/>
          <w:highlight w:val="none"/>
          <w:lang w:val="en-US" w:eastAsia="zh-CN" w:bidi="ar-SA"/>
        </w:rPr>
        <w:t>100</w:t>
      </w:r>
      <w:r>
        <w:rPr>
          <w:rFonts w:hint="default" w:ascii="Times New Roman" w:hAnsi="Times New Roman" w:eastAsia="仿宋_GB2312" w:cs="Times New Roman"/>
          <w:b/>
          <w:bCs/>
          <w:color w:val="auto"/>
          <w:kern w:val="2"/>
          <w:sz w:val="32"/>
          <w:szCs w:val="32"/>
          <w:highlight w:val="none"/>
          <w:lang w:val="en-US" w:eastAsia="zh-CN" w:bidi="ar-SA"/>
        </w:rPr>
        <w:t>.00%。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公务接待费支出决算比2023年度减少0.06万元，下降23.08%。主要原因是公务接待人次较上年减少。其中：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0.2</w:t>
      </w:r>
      <w:r>
        <w:rPr>
          <w:rFonts w:hint="eastAsia" w:eastAsia="仿宋_GB2312" w:cs="Times New Roman"/>
          <w:sz w:val="32"/>
          <w:szCs w:val="32"/>
          <w:lang w:val="en-US" w:eastAsia="zh-CN"/>
        </w:rPr>
        <w:t>0</w:t>
      </w:r>
      <w:r>
        <w:rPr>
          <w:rFonts w:hint="default" w:ascii="Times New Roman" w:hAnsi="Times New Roman" w:eastAsia="仿宋_GB2312" w:cs="Times New Roman"/>
          <w:color w:val="auto"/>
          <w:kern w:val="2"/>
          <w:sz w:val="32"/>
          <w:szCs w:val="32"/>
          <w:highlight w:val="none"/>
          <w:lang w:val="en-US" w:eastAsia="zh-CN" w:bidi="ar-SA"/>
        </w:rPr>
        <w:t>万元，主要用于接待其他地市州军休所来攀交流学习开支的</w:t>
      </w:r>
      <w:r>
        <w:rPr>
          <w:rFonts w:hint="eastAsia" w:eastAsia="仿宋_GB2312" w:cs="Times New Roman"/>
          <w:color w:val="auto"/>
          <w:kern w:val="2"/>
          <w:sz w:val="32"/>
          <w:szCs w:val="32"/>
          <w:highlight w:val="none"/>
          <w:lang w:val="en-US" w:eastAsia="zh-CN" w:bidi="ar-SA"/>
        </w:rPr>
        <w:t>公务接待费</w:t>
      </w:r>
      <w:r>
        <w:rPr>
          <w:rFonts w:hint="default" w:ascii="Times New Roman" w:hAnsi="Times New Roman" w:eastAsia="仿宋_GB2312" w:cs="Times New Roman"/>
          <w:color w:val="auto"/>
          <w:kern w:val="2"/>
          <w:sz w:val="32"/>
          <w:szCs w:val="32"/>
          <w:highlight w:val="none"/>
          <w:lang w:val="en-US" w:eastAsia="zh-CN" w:bidi="ar-SA"/>
        </w:rPr>
        <w:t>。国内公务接待</w:t>
      </w: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9</w:t>
      </w:r>
      <w:r>
        <w:rPr>
          <w:rFonts w:hint="default" w:ascii="Times New Roman" w:hAnsi="Times New Roman" w:eastAsia="仿宋_GB2312" w:cs="Times New Roman"/>
          <w:color w:val="auto"/>
          <w:kern w:val="2"/>
          <w:sz w:val="32"/>
          <w:szCs w:val="32"/>
          <w:highlight w:val="none"/>
          <w:lang w:val="en-US" w:eastAsia="zh-CN" w:bidi="ar-SA"/>
        </w:rPr>
        <w:t>人次（不包括陪同人员），共计支出0.2</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万元，具体内容包括：</w:t>
      </w:r>
      <w:r>
        <w:rPr>
          <w:rFonts w:hint="eastAsia" w:eastAsia="仿宋_GB2312" w:cs="Times New Roman"/>
          <w:color w:val="auto"/>
          <w:kern w:val="2"/>
          <w:sz w:val="32"/>
          <w:szCs w:val="32"/>
          <w:highlight w:val="none"/>
          <w:lang w:val="en-US" w:eastAsia="zh-CN" w:bidi="ar-SA"/>
        </w:rPr>
        <w:t>2024年4月19日，宜宾市叙州区军队离退休干部休养所来攀开展军休服务管理交流活动，发生公务接待费0.09万元；2024年12月13日，德阳市笙阳区军队离退休干部休养所来攀参加军休门球联谊赛，发生公务接待费0.12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人次（不包括陪同人员），共计支出0.00万元。</w:t>
      </w:r>
      <w:bookmarkStart w:id="51" w:name="_Toc15377218"/>
      <w:bookmarkStart w:id="52" w:name="_Toc15396610"/>
    </w:p>
    <w:p>
      <w:pPr>
        <w:spacing w:line="600" w:lineRule="exact"/>
        <w:ind w:firstLine="640"/>
        <w:outlineLvl w:val="1"/>
        <w:rPr>
          <w:rStyle w:val="29"/>
          <w:rFonts w:hint="default" w:ascii="Times New Roman" w:hAnsi="Times New Roman" w:eastAsia="黑体" w:cs="Times New Roman"/>
          <w:color w:val="auto"/>
          <w:highlight w:val="none"/>
        </w:rPr>
      </w:pPr>
      <w:bookmarkStart w:id="53" w:name="_Toc15437"/>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51"/>
      <w:bookmarkEnd w:id="52"/>
      <w:bookmarkEnd w:id="53"/>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p>
    <w:p>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54" w:name="_Toc15396611"/>
      <w:bookmarkStart w:id="55" w:name="_Toc28950"/>
      <w:bookmarkStart w:id="56" w:name="_Toc15377219"/>
      <w:r>
        <w:rPr>
          <w:rStyle w:val="29"/>
          <w:rFonts w:hint="default" w:ascii="Times New Roman" w:hAnsi="Times New Roman" w:eastAsia="黑体" w:cs="Times New Roman"/>
          <w:b w:val="0"/>
          <w:color w:val="auto"/>
          <w:highlight w:val="none"/>
          <w:lang w:eastAsia="zh-CN"/>
        </w:rPr>
        <w:t>九、</w:t>
      </w:r>
      <w:r>
        <w:rPr>
          <w:rStyle w:val="29"/>
          <w:rFonts w:hint="default" w:ascii="Times New Roman" w:hAnsi="Times New Roman" w:eastAsia="黑体" w:cs="Times New Roman"/>
          <w:b w:val="0"/>
          <w:color w:val="auto"/>
          <w:highlight w:val="none"/>
        </w:rPr>
        <w:t>国有资本经营预算支出决算情况说明</w:t>
      </w:r>
      <w:bookmarkEnd w:id="54"/>
      <w:bookmarkEnd w:id="55"/>
      <w:bookmarkEnd w:id="56"/>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p>
    <w:p>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57" w:name="_Toc15377221"/>
      <w:bookmarkStart w:id="58" w:name="_Toc15396612"/>
      <w:bookmarkStart w:id="59" w:name="_Toc25529"/>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57"/>
      <w:bookmarkEnd w:id="58"/>
      <w:bookmarkEnd w:id="59"/>
    </w:p>
    <w:p>
      <w:pPr>
        <w:spacing w:line="600" w:lineRule="exact"/>
        <w:ind w:firstLine="643" w:firstLineChars="200"/>
        <w:outlineLvl w:val="9"/>
        <w:rPr>
          <w:rFonts w:hint="default" w:ascii="Times New Roman" w:hAnsi="Times New Roman" w:eastAsia="楷体_GB2312" w:cs="Times New Roman"/>
          <w:b/>
          <w:color w:val="auto"/>
          <w:sz w:val="32"/>
          <w:szCs w:val="32"/>
          <w:highlight w:val="none"/>
        </w:rPr>
      </w:pPr>
      <w:bookmarkStart w:id="60" w:name="_Toc15377222"/>
      <w:r>
        <w:rPr>
          <w:rFonts w:hint="default" w:ascii="Times New Roman" w:hAnsi="Times New Roman" w:eastAsia="楷体_GB2312" w:cs="Times New Roman"/>
          <w:b/>
          <w:color w:val="auto"/>
          <w:sz w:val="32"/>
          <w:szCs w:val="32"/>
          <w:highlight w:val="none"/>
        </w:rPr>
        <w:t>（一）机关运行经费支出情况</w:t>
      </w:r>
      <w:bookmarkEnd w:id="60"/>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攀枝花市军队离退休干部休养所</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0</w:t>
      </w:r>
      <w:r>
        <w:rPr>
          <w:rFonts w:hint="eastAsia" w:eastAsia="仿宋_GB2312" w:cs="Times New Roman"/>
          <w:sz w:val="32"/>
          <w:szCs w:val="32"/>
          <w:lang w:val="en-US" w:eastAsia="zh-CN"/>
        </w:rPr>
        <w:t>.00</w:t>
      </w:r>
      <w:r>
        <w:rPr>
          <w:rFonts w:hint="default" w:ascii="Times New Roman" w:hAnsi="Times New Roman" w:eastAsia="仿宋_GB2312" w:cs="Times New Roman"/>
          <w:color w:val="auto"/>
          <w:kern w:val="2"/>
          <w:sz w:val="32"/>
          <w:szCs w:val="32"/>
          <w:highlight w:val="none"/>
          <w:lang w:val="en-US" w:eastAsia="zh-CN" w:bidi="ar-SA"/>
        </w:rPr>
        <w:t>万元，与2023年度决算数持平。主要原因是攀枝花市军队离退休干部休养所是攀枝花市退役军人事务局下属事业单位，无机关运行经费支出。</w:t>
      </w:r>
    </w:p>
    <w:p>
      <w:pPr>
        <w:spacing w:line="600" w:lineRule="exact"/>
        <w:ind w:firstLine="643" w:firstLineChars="200"/>
        <w:outlineLvl w:val="9"/>
        <w:rPr>
          <w:rFonts w:hint="default" w:ascii="Times New Roman" w:hAnsi="Times New Roman" w:eastAsia="楷体_GB2312" w:cs="Times New Roman"/>
          <w:b/>
          <w:color w:val="auto"/>
          <w:sz w:val="32"/>
          <w:szCs w:val="32"/>
          <w:highlight w:val="none"/>
        </w:rPr>
      </w:pPr>
      <w:bookmarkStart w:id="61" w:name="_Toc15377223"/>
      <w:r>
        <w:rPr>
          <w:rFonts w:hint="default" w:ascii="Times New Roman" w:hAnsi="Times New Roman" w:eastAsia="楷体_GB2312" w:cs="Times New Roman"/>
          <w:b/>
          <w:color w:val="auto"/>
          <w:sz w:val="32"/>
          <w:szCs w:val="32"/>
          <w:highlight w:val="none"/>
        </w:rPr>
        <w:t>（二）政府采购支出情况</w:t>
      </w:r>
      <w:bookmarkEnd w:id="61"/>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攀枝花市军队离退休干部休养所</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0.71</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0</w:t>
      </w:r>
      <w:r>
        <w:rPr>
          <w:rFonts w:hint="eastAsia" w:eastAsia="仿宋_GB2312" w:cs="Times New Roman"/>
          <w:sz w:val="32"/>
          <w:szCs w:val="32"/>
          <w:lang w:val="en-US" w:eastAsia="zh-CN"/>
        </w:rPr>
        <w:t>.00</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0.71</w:t>
      </w:r>
      <w:r>
        <w:rPr>
          <w:rFonts w:hint="default" w:ascii="Times New Roman" w:hAnsi="Times New Roman" w:eastAsia="仿宋_GB2312" w:cs="Times New Roman"/>
          <w:color w:val="auto"/>
          <w:kern w:val="2"/>
          <w:sz w:val="32"/>
          <w:szCs w:val="32"/>
          <w:highlight w:val="none"/>
          <w:lang w:val="en-US" w:eastAsia="zh-CN" w:bidi="ar-SA"/>
        </w:rPr>
        <w:t>万元。主要用于交纳公务车保险及车辆维修维护。授予中小企业合同金额</w:t>
      </w:r>
      <w:r>
        <w:rPr>
          <w:rFonts w:hint="default" w:ascii="Times New Roman" w:hAnsi="Times New Roman" w:eastAsia="仿宋_GB2312" w:cs="Times New Roman"/>
          <w:sz w:val="32"/>
          <w:szCs w:val="32"/>
        </w:rPr>
        <w:t>0.48</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67.28</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0.48</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67.28</w:t>
      </w:r>
      <w:r>
        <w:rPr>
          <w:rFonts w:hint="default" w:ascii="Times New Roman" w:hAnsi="Times New Roman" w:eastAsia="仿宋_GB2312" w:cs="Times New Roman"/>
          <w:color w:val="auto"/>
          <w:kern w:val="2"/>
          <w:sz w:val="32"/>
          <w:szCs w:val="32"/>
          <w:highlight w:val="none"/>
          <w:lang w:val="en-US" w:eastAsia="zh-CN" w:bidi="ar-SA"/>
        </w:rPr>
        <w:t>%。</w:t>
      </w:r>
    </w:p>
    <w:p>
      <w:pPr>
        <w:spacing w:line="600" w:lineRule="exact"/>
        <w:ind w:firstLine="643" w:firstLineChars="200"/>
        <w:outlineLvl w:val="9"/>
        <w:rPr>
          <w:rFonts w:hint="default" w:ascii="Times New Roman" w:hAnsi="Times New Roman" w:eastAsia="楷体_GB2312" w:cs="Times New Roman"/>
          <w:b/>
          <w:color w:val="auto"/>
          <w:sz w:val="32"/>
          <w:szCs w:val="32"/>
          <w:highlight w:val="none"/>
        </w:rPr>
      </w:pPr>
      <w:bookmarkStart w:id="62" w:name="_Toc15377224"/>
      <w:r>
        <w:rPr>
          <w:rFonts w:hint="default" w:ascii="Times New Roman" w:hAnsi="Times New Roman" w:eastAsia="楷体_GB2312" w:cs="Times New Roman"/>
          <w:b/>
          <w:color w:val="auto"/>
          <w:sz w:val="32"/>
          <w:szCs w:val="32"/>
          <w:highlight w:val="none"/>
        </w:rPr>
        <w:t>（三）国有资产占有使用情况</w:t>
      </w:r>
      <w:bookmarkEnd w:id="6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sz w:val="32"/>
          <w:szCs w:val="32"/>
        </w:rPr>
        <w:t>攀枝花市军队离退休干部休养所</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eastAsia"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辆</w:t>
      </w:r>
      <w:r>
        <w:rPr>
          <w:rFonts w:hint="eastAsia" w:eastAsia="仿宋_GB2312" w:cs="Times New Roman"/>
          <w:color w:val="auto"/>
          <w:kern w:val="2"/>
          <w:sz w:val="32"/>
          <w:szCs w:val="32"/>
          <w:highlight w:val="none"/>
          <w:lang w:val="en-US" w:eastAsia="zh-CN" w:bidi="ar-SA"/>
        </w:rPr>
        <w:t>，其他车辆</w:t>
      </w:r>
      <w:r>
        <w:rPr>
          <w:rFonts w:hint="default" w:ascii="Times New Roman" w:hAnsi="Times New Roman" w:eastAsia="仿宋_GB2312" w:cs="Times New Roman"/>
          <w:color w:val="auto"/>
          <w:kern w:val="2"/>
          <w:sz w:val="32"/>
          <w:szCs w:val="32"/>
          <w:highlight w:val="none"/>
          <w:lang w:val="en-US" w:eastAsia="zh-CN" w:bidi="ar-SA"/>
        </w:rPr>
        <w:t>主要</w:t>
      </w:r>
      <w:r>
        <w:rPr>
          <w:rFonts w:hint="eastAsia" w:eastAsia="仿宋_GB2312" w:cs="Times New Roman"/>
          <w:color w:val="auto"/>
          <w:kern w:val="2"/>
          <w:sz w:val="32"/>
          <w:szCs w:val="32"/>
          <w:highlight w:val="none"/>
          <w:lang w:val="en-US" w:eastAsia="zh-CN" w:bidi="ar-SA"/>
        </w:rPr>
        <w:t>是</w:t>
      </w:r>
      <w:r>
        <w:rPr>
          <w:rFonts w:hint="default" w:ascii="Times New Roman" w:hAnsi="Times New Roman" w:eastAsia="仿宋_GB2312" w:cs="Times New Roman"/>
          <w:color w:val="auto"/>
          <w:kern w:val="2"/>
          <w:sz w:val="32"/>
          <w:szCs w:val="32"/>
          <w:highlight w:val="none"/>
          <w:lang w:val="en-US" w:eastAsia="zh-CN" w:bidi="ar-SA"/>
        </w:rPr>
        <w:t>用于保障单位正常运转及完成军休干部服务管理等工作任务</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pPr>
        <w:spacing w:line="600" w:lineRule="exact"/>
        <w:ind w:firstLine="643" w:firstLineChars="200"/>
        <w:outlineLvl w:val="9"/>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攀枝花市军队离退休干部休养所在2024年度预算编制阶段，组织对“军休所建设项目”和“会议室升级改造项目”2个项目开展了预算事前绩效评估，对2个项目编制了绩效目标，预算执行过程中，选取2个项目开展绩效监控。</w:t>
      </w:r>
    </w:p>
    <w:p>
      <w:pPr>
        <w:pStyle w:val="3"/>
        <w:ind w:left="0" w:leftChars="0" w:firstLine="0" w:firstLineChars="0"/>
        <w:rPr>
          <w:rFonts w:hint="default" w:ascii="Times New Roman" w:hAnsi="Times New Roman" w:eastAsia="仿宋_GB2312" w:cs="Times New Roman"/>
          <w:color w:val="auto"/>
          <w:kern w:val="2"/>
          <w:sz w:val="32"/>
          <w:szCs w:val="32"/>
          <w:highlight w:val="none"/>
          <w:lang w:val="en-US" w:eastAsia="zh-CN" w:bidi="ar-SA"/>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bookmarkStart w:id="63" w:name="_Toc6726"/>
      <w:bookmarkStart w:id="64" w:name="_Toc15396613"/>
      <w:bookmarkStart w:id="65" w:name="_Toc15377225"/>
      <w:bookmarkStart w:id="66" w:name="_Toc23367"/>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63"/>
      <w:bookmarkEnd w:id="64"/>
      <w:bookmarkEnd w:id="65"/>
      <w:bookmarkEnd w:id="66"/>
    </w:p>
    <w:p>
      <w:pPr>
        <w:spacing w:line="600" w:lineRule="exact"/>
        <w:ind w:firstLine="640"/>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1.财政拨款收入：指单位从同级财政部门取得的财政预算资金。</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2.其他收入：指单位取得的除上述收入以外的各项收入。主要是指上级部门划拨的军休干部人员经费。 </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3.年末结转和结余：指单位按有关规定结转到下年或以后年度继续使用的资金。</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4.社会保障和就业支出（类）人力资源和社会保障管理事务（款）其他人力资源和社会保障管理事务支出（项）：反映其他用于人力资源和社会保障管理事务方面的支出。  </w:t>
      </w:r>
    </w:p>
    <w:p>
      <w:pPr>
        <w:spacing w:line="600" w:lineRule="exact"/>
        <w:ind w:firstLine="640"/>
        <w:rPr>
          <w:rFonts w:hint="default" w:ascii="Times New Roman" w:hAnsi="Times New Roman" w:eastAsia="仿宋" w:cs="Times New Roman"/>
          <w:sz w:val="32"/>
          <w:szCs w:val="32"/>
        </w:rPr>
      </w:pPr>
      <w:bookmarkStart w:id="67" w:name="_Toc82073755"/>
      <w:r>
        <w:rPr>
          <w:rFonts w:hint="default" w:ascii="Times New Roman" w:hAnsi="Times New Roman" w:eastAsia="仿宋" w:cs="Times New Roman"/>
          <w:sz w:val="32"/>
          <w:szCs w:val="32"/>
        </w:rPr>
        <w:t>5.社会保障和就业支出（类）行政事业单位养老支出（款）事业单位离退休（项）:反映事业单位</w:t>
      </w:r>
      <w:bookmarkEnd w:id="67"/>
      <w:r>
        <w:rPr>
          <w:rFonts w:hint="default" w:ascii="Times New Roman" w:hAnsi="Times New Roman" w:eastAsia="仿宋" w:cs="Times New Roman"/>
          <w:sz w:val="32"/>
          <w:szCs w:val="32"/>
        </w:rPr>
        <w:t>开支的离退休经费。</w:t>
      </w:r>
    </w:p>
    <w:p>
      <w:pPr>
        <w:spacing w:line="600" w:lineRule="exact"/>
        <w:ind w:firstLine="640"/>
        <w:rPr>
          <w:rFonts w:hint="default" w:ascii="Times New Roman" w:hAnsi="Times New Roman" w:eastAsia="仿宋" w:cs="Times New Roman"/>
          <w:sz w:val="32"/>
          <w:szCs w:val="32"/>
        </w:rPr>
      </w:pPr>
      <w:bookmarkStart w:id="68" w:name="_Toc82073756"/>
      <w:r>
        <w:rPr>
          <w:rFonts w:hint="default" w:ascii="Times New Roman" w:hAnsi="Times New Roman" w:eastAsia="仿宋" w:cs="Times New Roman"/>
          <w:sz w:val="32"/>
          <w:szCs w:val="32"/>
        </w:rPr>
        <w:t>6.社会保障和就业支出（类）行政事业单位养老支出（款）机关事业单位基本养老保险缴费支出（项）:</w:t>
      </w:r>
      <w:bookmarkEnd w:id="68"/>
      <w:r>
        <w:rPr>
          <w:rFonts w:hint="default" w:ascii="Times New Roman" w:hAnsi="Times New Roman" w:eastAsia="仿宋" w:cs="Times New Roman"/>
          <w:sz w:val="32"/>
          <w:szCs w:val="32"/>
        </w:rPr>
        <w:t>反映机关事业单位实施养老保险制度由单位缴纳的基本养老保险费支出。</w:t>
      </w:r>
    </w:p>
    <w:p>
      <w:pPr>
        <w:spacing w:line="600" w:lineRule="exact"/>
        <w:ind w:firstLine="640"/>
        <w:rPr>
          <w:rFonts w:hint="default" w:ascii="Times New Roman" w:hAnsi="Times New Roman" w:eastAsia="仿宋" w:cs="Times New Roman"/>
          <w:sz w:val="32"/>
          <w:szCs w:val="32"/>
        </w:rPr>
      </w:pPr>
      <w:bookmarkStart w:id="69" w:name="_Toc82073757"/>
      <w:r>
        <w:rPr>
          <w:rFonts w:hint="default" w:ascii="Times New Roman" w:hAnsi="Times New Roman" w:eastAsia="仿宋" w:cs="Times New Roman"/>
          <w:sz w:val="32"/>
          <w:szCs w:val="32"/>
        </w:rPr>
        <w:t>7.社会保障和就业支出（类）抚恤（款）死亡抚恤（项）:反映</w:t>
      </w:r>
      <w:bookmarkEnd w:id="69"/>
      <w:r>
        <w:rPr>
          <w:rFonts w:hint="default" w:ascii="Times New Roman" w:hAnsi="Times New Roman" w:eastAsia="仿宋" w:cs="Times New Roman"/>
          <w:sz w:val="32"/>
          <w:szCs w:val="32"/>
        </w:rPr>
        <w:t>按规定用于烈士和牺牲、病故人员家属的一次性和定期抚恤金以及丧葬补助费。</w:t>
      </w:r>
    </w:p>
    <w:p>
      <w:pPr>
        <w:spacing w:line="600" w:lineRule="exact"/>
        <w:ind w:firstLine="640"/>
        <w:rPr>
          <w:rFonts w:hint="default" w:ascii="Times New Roman" w:hAnsi="Times New Roman" w:eastAsia="仿宋" w:cs="Times New Roman"/>
          <w:sz w:val="32"/>
          <w:szCs w:val="32"/>
        </w:rPr>
      </w:pPr>
      <w:bookmarkStart w:id="70" w:name="_Toc82073758"/>
      <w:r>
        <w:rPr>
          <w:rFonts w:hint="default" w:ascii="Times New Roman" w:hAnsi="Times New Roman" w:eastAsia="仿宋" w:cs="Times New Roman"/>
          <w:sz w:val="32"/>
          <w:szCs w:val="32"/>
        </w:rPr>
        <w:t>8.社会保障和就业支出（类）退役安置（款）军队移交政府的离退休人员安置（项）:反映移交政府的军队离退休人员安置支出。</w:t>
      </w:r>
      <w:bookmarkEnd w:id="70"/>
    </w:p>
    <w:p>
      <w:pPr>
        <w:spacing w:line="600" w:lineRule="exact"/>
        <w:ind w:firstLine="640"/>
        <w:rPr>
          <w:rFonts w:hint="default" w:ascii="Times New Roman" w:hAnsi="Times New Roman" w:eastAsia="仿宋" w:cs="Times New Roman"/>
          <w:sz w:val="32"/>
          <w:szCs w:val="32"/>
        </w:rPr>
      </w:pPr>
      <w:bookmarkStart w:id="71" w:name="_Toc82073759"/>
      <w:r>
        <w:rPr>
          <w:rFonts w:hint="default" w:ascii="Times New Roman" w:hAnsi="Times New Roman" w:eastAsia="仿宋" w:cs="Times New Roman"/>
          <w:sz w:val="32"/>
          <w:szCs w:val="32"/>
        </w:rPr>
        <w:t>9.社会保障和就业支出（类）退役安置（款）军队移交政府离退休干部管理机构（项）:反映退役军人事务部门管理的军队移交政府安置的离退休干部管理机构列入事业编制的人员经费、公用经费以及管理机构用房建设经费等支出。</w:t>
      </w:r>
      <w:bookmarkEnd w:id="71"/>
    </w:p>
    <w:p>
      <w:pPr>
        <w:pStyle w:val="8"/>
        <w:spacing w:before="93"/>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卫生健康支出（类）行政事业单位医疗（款）事业单位医疗（项）：反映财政部门安排的事业单位基本医疗保险缴费经费，未参加医疗保险的事业单位的公费医疗经费，按国家规定享受离休人员待遇的医疗经费。</w:t>
      </w:r>
    </w:p>
    <w:p>
      <w:pPr>
        <w:pStyle w:val="8"/>
        <w:spacing w:before="93"/>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11.卫生健康支出（类）行政事业单位医疗（款）其他行政事业单位医疗支出（项）：反映除上述项目以外的其他用于行政事业单位医疗方面的支出。</w:t>
      </w:r>
    </w:p>
    <w:p>
      <w:pPr>
        <w:spacing w:line="600" w:lineRule="exact"/>
        <w:ind w:firstLine="640"/>
        <w:rPr>
          <w:rFonts w:hint="default" w:ascii="Times New Roman" w:hAnsi="Times New Roman" w:eastAsia="仿宋" w:cs="Times New Roman"/>
          <w:sz w:val="32"/>
          <w:szCs w:val="32"/>
        </w:rPr>
      </w:pPr>
      <w:bookmarkStart w:id="72" w:name="_Toc82073767"/>
      <w:r>
        <w:rPr>
          <w:rFonts w:hint="default" w:ascii="Times New Roman" w:hAnsi="Times New Roman" w:eastAsia="仿宋" w:cs="Times New Roman"/>
          <w:sz w:val="32"/>
          <w:szCs w:val="32"/>
        </w:rPr>
        <w:t>12.住房保障支出（类）住房改革支出（款） 住房公积金（项）:反映行政事业单位</w:t>
      </w:r>
      <w:bookmarkEnd w:id="72"/>
      <w:r>
        <w:rPr>
          <w:rFonts w:hint="default" w:ascii="Times New Roman" w:hAnsi="Times New Roman" w:eastAsia="仿宋" w:cs="Times New Roman"/>
          <w:sz w:val="32"/>
          <w:szCs w:val="32"/>
        </w:rPr>
        <w:t>按人力资源和社会保障部、财政部规定的基本工资和津贴补贴以及规定比例为职工缴纳的住房公积金。</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13.基本支出：指为保障机构正常运转、完成日常工作任务而发生的人员支出和公用支出。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14.项目支出：指在基本支出之外为完成特定行政任务和事业发展目标所发生的支出。 </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8"/>
          <w:rFonts w:hint="eastAsia" w:ascii="Times New Roman" w:hAnsi="Times New Roman" w:eastAsia="黑体"/>
          <w:b w:val="0"/>
          <w:color w:val="auto"/>
          <w:highlight w:val="none"/>
          <w:lang w:eastAsia="zh-CN"/>
        </w:rPr>
      </w:pPr>
      <w:bookmarkStart w:id="73"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74" w:name="_Toc16105"/>
      <w:bookmarkStart w:id="75" w:name="_Toc15396614"/>
      <w:bookmarkStart w:id="76" w:name="_Toc28840"/>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74"/>
      <w:bookmarkEnd w:id="75"/>
      <w:bookmarkEnd w:id="76"/>
    </w:p>
    <w:p>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cs="Times New Roman"/>
          <w:sz w:val="32"/>
          <w:szCs w:val="32"/>
          <w:highlight w:val="none"/>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部门预算项目支出绩效自评表（2024年度）见附件。</w:t>
      </w:r>
    </w:p>
    <w:p>
      <w:pPr>
        <w:pStyle w:val="8"/>
        <w:rPr>
          <w:rFonts w:hint="eastAsia" w:ascii="Times New Roman" w:hAnsi="Times New Roman" w:cs="宋体"/>
          <w:color w:val="FF0000"/>
          <w:kern w:val="0"/>
          <w:sz w:val="32"/>
          <w:szCs w:val="32"/>
          <w:highlight w:val="yellow"/>
          <w:shd w:val="clear" w:color="auto" w:fill="FFFFFF"/>
          <w:lang w:val="zh-CN"/>
        </w:rPr>
      </w:pPr>
    </w:p>
    <w:p>
      <w:pPr>
        <w:pStyle w:val="5"/>
        <w:bidi w:val="0"/>
        <w:jc w:val="center"/>
        <w:outlineLvl w:val="0"/>
        <w:rPr>
          <w:rFonts w:hint="eastAsia" w:ascii="Times New Roman" w:hAnsi="Times New Roman" w:eastAsia="仿宋"/>
          <w:b w:val="0"/>
          <w:color w:val="auto"/>
          <w:highlight w:val="none"/>
        </w:rPr>
      </w:pPr>
      <w:r>
        <w:rPr>
          <w:rFonts w:hint="eastAsia" w:ascii="Times New Roman" w:hAnsi="Times New Roman" w:eastAsia="黑体" w:cs="黑体"/>
          <w:color w:val="auto"/>
          <w:kern w:val="0"/>
          <w:sz w:val="32"/>
          <w:szCs w:val="32"/>
          <w:highlight w:val="none"/>
          <w:shd w:val="clear" w:color="auto" w:fill="FFFFFF"/>
          <w:lang w:val="zh-CN"/>
        </w:rPr>
        <w:br w:type="page"/>
      </w:r>
      <w:bookmarkStart w:id="77" w:name="_Toc15396618"/>
      <w:r>
        <w:rPr>
          <w:rFonts w:hint="eastAsia" w:eastAsia="黑体" w:cs="黑体"/>
          <w:color w:val="auto"/>
          <w:kern w:val="0"/>
          <w:sz w:val="32"/>
          <w:szCs w:val="32"/>
          <w:highlight w:val="none"/>
          <w:shd w:val="clear" w:color="auto" w:fill="FFFFFF"/>
          <w:lang w:val="en-US" w:eastAsia="zh-CN"/>
        </w:rPr>
        <w:t xml:space="preserve">     </w:t>
      </w:r>
      <w:bookmarkStart w:id="78" w:name="_Toc19214"/>
      <w:bookmarkStart w:id="79" w:name="_Toc7510"/>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bCs/>
          <w:color w:val="auto"/>
          <w:highlight w:val="none"/>
        </w:rPr>
        <w:t>五部分 附表</w:t>
      </w:r>
      <w:bookmarkEnd w:id="73"/>
      <w:bookmarkEnd w:id="77"/>
      <w:bookmarkEnd w:id="78"/>
      <w:bookmarkEnd w:id="79"/>
      <w:bookmarkStart w:id="80" w:name="_Toc15396619"/>
    </w:p>
    <w:p>
      <w:pPr>
        <w:pStyle w:val="14"/>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81" w:name="_Toc32691"/>
      <w:r>
        <w:rPr>
          <w:rFonts w:hint="eastAsia" w:ascii="Times New Roman" w:hAnsi="Times New Roman" w:eastAsia="仿宋_GB2312" w:cs="仿宋_GB2312"/>
          <w:color w:val="auto"/>
          <w:sz w:val="32"/>
          <w:szCs w:val="32"/>
          <w:highlight w:val="none"/>
        </w:rPr>
        <w:t>一、收入支出决算总表</w:t>
      </w:r>
      <w:bookmarkEnd w:id="80"/>
      <w:bookmarkEnd w:id="8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82" w:name="_Toc7164"/>
      <w:bookmarkStart w:id="83" w:name="_Toc15396620"/>
      <w:r>
        <w:rPr>
          <w:rFonts w:hint="eastAsia" w:ascii="Times New Roman" w:hAnsi="Times New Roman" w:eastAsia="仿宋_GB2312" w:cs="仿宋_GB2312"/>
          <w:color w:val="auto"/>
          <w:sz w:val="32"/>
          <w:szCs w:val="32"/>
          <w:highlight w:val="none"/>
        </w:rPr>
        <w:t>二、收入决算表</w:t>
      </w:r>
      <w:bookmarkEnd w:id="82"/>
      <w:bookmarkEnd w:id="8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84" w:name="_Toc15396621"/>
      <w:bookmarkStart w:id="85" w:name="_Toc2088"/>
      <w:r>
        <w:rPr>
          <w:rFonts w:hint="eastAsia" w:ascii="Times New Roman" w:hAnsi="Times New Roman" w:eastAsia="仿宋_GB2312" w:cs="仿宋_GB2312"/>
          <w:color w:val="auto"/>
          <w:sz w:val="32"/>
          <w:szCs w:val="32"/>
          <w:highlight w:val="none"/>
        </w:rPr>
        <w:t>三、支出决算表</w:t>
      </w:r>
      <w:bookmarkEnd w:id="84"/>
      <w:bookmarkEnd w:id="8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86" w:name="_Toc15396622"/>
      <w:bookmarkStart w:id="87" w:name="_Toc29054"/>
      <w:r>
        <w:rPr>
          <w:rFonts w:hint="eastAsia" w:ascii="Times New Roman" w:hAnsi="Times New Roman" w:eastAsia="仿宋_GB2312" w:cs="仿宋_GB2312"/>
          <w:color w:val="auto"/>
          <w:sz w:val="32"/>
          <w:szCs w:val="32"/>
          <w:highlight w:val="none"/>
        </w:rPr>
        <w:t>四、财政拨款收入支出决算总表</w:t>
      </w:r>
      <w:bookmarkEnd w:id="86"/>
      <w:bookmarkEnd w:id="8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88" w:name="_Toc15396623"/>
      <w:bookmarkStart w:id="89" w:name="_Toc6430"/>
      <w:r>
        <w:rPr>
          <w:rFonts w:hint="eastAsia" w:ascii="Times New Roman" w:hAnsi="Times New Roman" w:eastAsia="仿宋_GB2312" w:cs="仿宋_GB2312"/>
          <w:color w:val="auto"/>
          <w:sz w:val="32"/>
          <w:szCs w:val="32"/>
          <w:highlight w:val="none"/>
        </w:rPr>
        <w:t>五、财政拨款支出决算明细表</w:t>
      </w:r>
      <w:bookmarkEnd w:id="88"/>
      <w:bookmarkEnd w:id="89"/>
      <w:bookmarkStart w:id="90"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1" w:name="_Toc28612"/>
      <w:r>
        <w:rPr>
          <w:rFonts w:hint="eastAsia" w:ascii="Times New Roman" w:hAnsi="Times New Roman" w:eastAsia="仿宋_GB2312" w:cs="仿宋_GB2312"/>
          <w:color w:val="auto"/>
          <w:sz w:val="32"/>
          <w:szCs w:val="32"/>
          <w:highlight w:val="none"/>
        </w:rPr>
        <w:t>六、一般公共预算财政拨款支出决算表</w:t>
      </w:r>
      <w:bookmarkEnd w:id="90"/>
      <w:bookmarkEnd w:id="9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2" w:name="_Toc15396625"/>
      <w:bookmarkStart w:id="93" w:name="_Toc23024"/>
      <w:r>
        <w:rPr>
          <w:rFonts w:hint="eastAsia" w:ascii="Times New Roman" w:hAnsi="Times New Roman" w:eastAsia="仿宋_GB2312" w:cs="仿宋_GB2312"/>
          <w:color w:val="auto"/>
          <w:sz w:val="32"/>
          <w:szCs w:val="32"/>
          <w:highlight w:val="none"/>
        </w:rPr>
        <w:t>七、一般公共预算财政拨款支出决算明细表</w:t>
      </w:r>
      <w:bookmarkEnd w:id="92"/>
      <w:bookmarkEnd w:id="9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4" w:name="_Toc15396626"/>
      <w:bookmarkStart w:id="95" w:name="_Toc3330"/>
      <w:r>
        <w:rPr>
          <w:rFonts w:hint="eastAsia" w:ascii="Times New Roman" w:hAnsi="Times New Roman" w:eastAsia="仿宋_GB2312" w:cs="仿宋_GB2312"/>
          <w:color w:val="auto"/>
          <w:sz w:val="32"/>
          <w:szCs w:val="32"/>
          <w:highlight w:val="none"/>
        </w:rPr>
        <w:t>八、一般公共预算财政拨款基本支出决算表</w:t>
      </w:r>
      <w:bookmarkEnd w:id="94"/>
      <w:bookmarkEnd w:id="9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6" w:name="_Toc11069"/>
      <w:bookmarkStart w:id="97" w:name="_Toc15396627"/>
      <w:r>
        <w:rPr>
          <w:rFonts w:hint="eastAsia" w:ascii="Times New Roman" w:hAnsi="Times New Roman" w:eastAsia="仿宋_GB2312" w:cs="仿宋_GB2312"/>
          <w:color w:val="auto"/>
          <w:sz w:val="32"/>
          <w:szCs w:val="32"/>
          <w:highlight w:val="none"/>
        </w:rPr>
        <w:t>九、一般公共预算财政拨款项目支出决算表</w:t>
      </w:r>
      <w:bookmarkEnd w:id="96"/>
      <w:bookmarkEnd w:id="9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8" w:name="_Toc15396628"/>
      <w:bookmarkStart w:id="99" w:name="_Toc17834"/>
      <w:r>
        <w:rPr>
          <w:rFonts w:hint="eastAsia" w:ascii="Times New Roman" w:hAnsi="Times New Roman" w:eastAsia="仿宋_GB2312" w:cs="仿宋_GB2312"/>
          <w:color w:val="auto"/>
          <w:sz w:val="32"/>
          <w:szCs w:val="32"/>
          <w:highlight w:val="none"/>
        </w:rPr>
        <w:t>十、</w:t>
      </w:r>
      <w:bookmarkEnd w:id="98"/>
      <w:r>
        <w:rPr>
          <w:rFonts w:hint="eastAsia" w:ascii="Times New Roman" w:hAnsi="Times New Roman" w:eastAsia="仿宋_GB2312" w:cs="仿宋_GB2312"/>
          <w:color w:val="auto"/>
          <w:sz w:val="32"/>
          <w:szCs w:val="32"/>
          <w:highlight w:val="none"/>
        </w:rPr>
        <w:t>政府性基金预算财政拨款收入支出决算表</w:t>
      </w:r>
      <w:bookmarkEnd w:id="9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0" w:name="_Toc15396629"/>
      <w:bookmarkStart w:id="101" w:name="_Toc1204"/>
      <w:r>
        <w:rPr>
          <w:rFonts w:hint="eastAsia" w:ascii="Times New Roman" w:hAnsi="Times New Roman" w:eastAsia="仿宋_GB2312" w:cs="仿宋_GB2312"/>
          <w:color w:val="auto"/>
          <w:sz w:val="32"/>
          <w:szCs w:val="32"/>
          <w:highlight w:val="none"/>
        </w:rPr>
        <w:t>十一、</w:t>
      </w:r>
      <w:bookmarkEnd w:id="100"/>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0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2" w:name="_Toc15396630"/>
      <w:bookmarkStart w:id="103" w:name="_Toc5011"/>
      <w:r>
        <w:rPr>
          <w:rFonts w:hint="eastAsia" w:ascii="Times New Roman" w:hAnsi="Times New Roman" w:eastAsia="仿宋_GB2312" w:cs="仿宋_GB2312"/>
          <w:color w:val="auto"/>
          <w:sz w:val="32"/>
          <w:szCs w:val="32"/>
          <w:highlight w:val="none"/>
        </w:rPr>
        <w:t>十二、</w:t>
      </w:r>
      <w:bookmarkEnd w:id="102"/>
      <w:r>
        <w:rPr>
          <w:rFonts w:hint="eastAsia" w:ascii="Times New Roman" w:hAnsi="Times New Roman" w:eastAsia="仿宋_GB2312" w:cs="仿宋_GB2312"/>
          <w:color w:val="auto"/>
          <w:sz w:val="32"/>
          <w:szCs w:val="32"/>
          <w:highlight w:val="none"/>
          <w:lang w:eastAsia="zh-CN"/>
        </w:rPr>
        <w:t>国有资本经营预算财政拨款支出决算表</w:t>
      </w:r>
      <w:bookmarkEnd w:id="10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lang w:eastAsia="zh-CN"/>
        </w:rPr>
      </w:pPr>
      <w:bookmarkStart w:id="104" w:name="_Toc15396631"/>
      <w:bookmarkStart w:id="105" w:name="_Toc24110"/>
      <w:r>
        <w:rPr>
          <w:rFonts w:hint="eastAsia" w:ascii="Times New Roman" w:hAnsi="Times New Roman" w:eastAsia="仿宋_GB2312" w:cs="仿宋_GB2312"/>
          <w:color w:val="auto"/>
          <w:sz w:val="32"/>
          <w:szCs w:val="32"/>
          <w:highlight w:val="none"/>
        </w:rPr>
        <w:t>十三、</w:t>
      </w:r>
      <w:bookmarkEnd w:id="104"/>
      <w:r>
        <w:rPr>
          <w:rFonts w:hint="eastAsia" w:ascii="Times New Roman" w:hAnsi="Times New Roman" w:eastAsia="仿宋_GB2312" w:cs="仿宋_GB2312"/>
          <w:color w:val="auto"/>
          <w:sz w:val="32"/>
          <w:szCs w:val="32"/>
          <w:highlight w:val="none"/>
          <w:lang w:eastAsia="zh-CN"/>
        </w:rPr>
        <w:t>财政拨款“三公”经费支出决算表</w:t>
      </w:r>
      <w:bookmarkEnd w:id="105"/>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MTJiMGNkZDRlNWY3OGM5ZmM5MGRiZDc0ZmY3Y2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41A3"/>
    <w:rsid w:val="00F602DF"/>
    <w:rsid w:val="00F754A1"/>
    <w:rsid w:val="00F81FD9"/>
    <w:rsid w:val="00F841AA"/>
    <w:rsid w:val="00F84A94"/>
    <w:rsid w:val="00F87E96"/>
    <w:rsid w:val="00FA23E8"/>
    <w:rsid w:val="00FD3CC1"/>
    <w:rsid w:val="00FF1E02"/>
    <w:rsid w:val="00FF30B4"/>
    <w:rsid w:val="012A5EC2"/>
    <w:rsid w:val="015975B8"/>
    <w:rsid w:val="017E2CDF"/>
    <w:rsid w:val="01F9274C"/>
    <w:rsid w:val="01FB7B0D"/>
    <w:rsid w:val="022B2B73"/>
    <w:rsid w:val="0234382A"/>
    <w:rsid w:val="02565972"/>
    <w:rsid w:val="028E1454"/>
    <w:rsid w:val="02FEBE30"/>
    <w:rsid w:val="043F299D"/>
    <w:rsid w:val="04916F1E"/>
    <w:rsid w:val="056736ED"/>
    <w:rsid w:val="061E35DE"/>
    <w:rsid w:val="066E0107"/>
    <w:rsid w:val="06DC5239"/>
    <w:rsid w:val="07521F93"/>
    <w:rsid w:val="07996F6E"/>
    <w:rsid w:val="07CD3E5B"/>
    <w:rsid w:val="07DFD8BA"/>
    <w:rsid w:val="091E050E"/>
    <w:rsid w:val="093C74AB"/>
    <w:rsid w:val="09867E8F"/>
    <w:rsid w:val="09945A0F"/>
    <w:rsid w:val="09E71D9B"/>
    <w:rsid w:val="0A0C48AD"/>
    <w:rsid w:val="0A133BB2"/>
    <w:rsid w:val="0A2032A3"/>
    <w:rsid w:val="0A5F47A5"/>
    <w:rsid w:val="0B5D0834"/>
    <w:rsid w:val="0B6E2CCD"/>
    <w:rsid w:val="0C4E3E50"/>
    <w:rsid w:val="0CA8290A"/>
    <w:rsid w:val="0CCC31A8"/>
    <w:rsid w:val="0CE964B1"/>
    <w:rsid w:val="0D35B1ED"/>
    <w:rsid w:val="0E254B6B"/>
    <w:rsid w:val="0E2A51DB"/>
    <w:rsid w:val="0F3F691A"/>
    <w:rsid w:val="0F98263C"/>
    <w:rsid w:val="0FCA38F7"/>
    <w:rsid w:val="101860EC"/>
    <w:rsid w:val="101F47CC"/>
    <w:rsid w:val="10207B26"/>
    <w:rsid w:val="10352FA6"/>
    <w:rsid w:val="10C055FF"/>
    <w:rsid w:val="11694EBD"/>
    <w:rsid w:val="11772AA4"/>
    <w:rsid w:val="118107EC"/>
    <w:rsid w:val="12C754DE"/>
    <w:rsid w:val="12E24EE2"/>
    <w:rsid w:val="13D50BC4"/>
    <w:rsid w:val="1438443B"/>
    <w:rsid w:val="143D2AC1"/>
    <w:rsid w:val="14511B82"/>
    <w:rsid w:val="14843CBC"/>
    <w:rsid w:val="14AE78FC"/>
    <w:rsid w:val="14B17F78"/>
    <w:rsid w:val="14CB286A"/>
    <w:rsid w:val="152F114F"/>
    <w:rsid w:val="154871D8"/>
    <w:rsid w:val="15D93B67"/>
    <w:rsid w:val="16296DE9"/>
    <w:rsid w:val="165E0673"/>
    <w:rsid w:val="168077F8"/>
    <w:rsid w:val="16905894"/>
    <w:rsid w:val="16B831D5"/>
    <w:rsid w:val="16BB723D"/>
    <w:rsid w:val="17D271A5"/>
    <w:rsid w:val="17E50567"/>
    <w:rsid w:val="1838494B"/>
    <w:rsid w:val="186504BB"/>
    <w:rsid w:val="18EA28C4"/>
    <w:rsid w:val="18ED3174"/>
    <w:rsid w:val="19A445FC"/>
    <w:rsid w:val="19C27D91"/>
    <w:rsid w:val="1A5326BB"/>
    <w:rsid w:val="1B225312"/>
    <w:rsid w:val="1B746016"/>
    <w:rsid w:val="1BDE316F"/>
    <w:rsid w:val="1BE8440E"/>
    <w:rsid w:val="1D107DE4"/>
    <w:rsid w:val="1D116D3C"/>
    <w:rsid w:val="1D155CEE"/>
    <w:rsid w:val="1D1638FE"/>
    <w:rsid w:val="1D3037AB"/>
    <w:rsid w:val="1DC964EA"/>
    <w:rsid w:val="1E312DEB"/>
    <w:rsid w:val="1E740ACF"/>
    <w:rsid w:val="1E9062B3"/>
    <w:rsid w:val="1F954FBD"/>
    <w:rsid w:val="1FF35744"/>
    <w:rsid w:val="1FF6BC77"/>
    <w:rsid w:val="21585BEA"/>
    <w:rsid w:val="2186353C"/>
    <w:rsid w:val="218B6B85"/>
    <w:rsid w:val="21C0196E"/>
    <w:rsid w:val="222C6A9F"/>
    <w:rsid w:val="22A16179"/>
    <w:rsid w:val="22A76512"/>
    <w:rsid w:val="22B4100F"/>
    <w:rsid w:val="22CF1D97"/>
    <w:rsid w:val="23860B96"/>
    <w:rsid w:val="238E617E"/>
    <w:rsid w:val="23A32E08"/>
    <w:rsid w:val="23BD36E7"/>
    <w:rsid w:val="23CC6D8B"/>
    <w:rsid w:val="240371BF"/>
    <w:rsid w:val="240B1533"/>
    <w:rsid w:val="24356AF4"/>
    <w:rsid w:val="244F3473"/>
    <w:rsid w:val="24716CD9"/>
    <w:rsid w:val="24C97D99"/>
    <w:rsid w:val="2543586C"/>
    <w:rsid w:val="25A718F0"/>
    <w:rsid w:val="25BB59F6"/>
    <w:rsid w:val="260B6A7A"/>
    <w:rsid w:val="260F557C"/>
    <w:rsid w:val="266279B6"/>
    <w:rsid w:val="26970054"/>
    <w:rsid w:val="270B6448"/>
    <w:rsid w:val="273D230F"/>
    <w:rsid w:val="281408E2"/>
    <w:rsid w:val="286F3CE6"/>
    <w:rsid w:val="28A43208"/>
    <w:rsid w:val="28F538BB"/>
    <w:rsid w:val="29151EF5"/>
    <w:rsid w:val="29FD04D3"/>
    <w:rsid w:val="2A6C5EF2"/>
    <w:rsid w:val="2AD665E9"/>
    <w:rsid w:val="2ADF6F62"/>
    <w:rsid w:val="2B5B7BB1"/>
    <w:rsid w:val="2BFF7BC6"/>
    <w:rsid w:val="2C680FE8"/>
    <w:rsid w:val="2C8A61B5"/>
    <w:rsid w:val="2CDE44AA"/>
    <w:rsid w:val="2D4D0ECB"/>
    <w:rsid w:val="2DD45CBB"/>
    <w:rsid w:val="2DF04E50"/>
    <w:rsid w:val="2E126E25"/>
    <w:rsid w:val="2E522668"/>
    <w:rsid w:val="2E586DFA"/>
    <w:rsid w:val="2F040D46"/>
    <w:rsid w:val="2F0F5A43"/>
    <w:rsid w:val="2F6B035B"/>
    <w:rsid w:val="2FAE5751"/>
    <w:rsid w:val="2FB1A395"/>
    <w:rsid w:val="2FD9A7D8"/>
    <w:rsid w:val="2FDBF714"/>
    <w:rsid w:val="30103067"/>
    <w:rsid w:val="30AB6865"/>
    <w:rsid w:val="30DB1837"/>
    <w:rsid w:val="31594303"/>
    <w:rsid w:val="319F7F4E"/>
    <w:rsid w:val="32105B8C"/>
    <w:rsid w:val="323D6884"/>
    <w:rsid w:val="32635E3A"/>
    <w:rsid w:val="32BD1EF1"/>
    <w:rsid w:val="32C957DF"/>
    <w:rsid w:val="3304709D"/>
    <w:rsid w:val="330E4C4E"/>
    <w:rsid w:val="33673F3A"/>
    <w:rsid w:val="339B6127"/>
    <w:rsid w:val="33A773CB"/>
    <w:rsid w:val="33AA0399"/>
    <w:rsid w:val="349D6851"/>
    <w:rsid w:val="34F2196C"/>
    <w:rsid w:val="352036D7"/>
    <w:rsid w:val="35594813"/>
    <w:rsid w:val="355D101B"/>
    <w:rsid w:val="35CD4D78"/>
    <w:rsid w:val="36127845"/>
    <w:rsid w:val="368A19E0"/>
    <w:rsid w:val="36AA5135"/>
    <w:rsid w:val="36BE0DA7"/>
    <w:rsid w:val="36F24934"/>
    <w:rsid w:val="371273E8"/>
    <w:rsid w:val="37321E9B"/>
    <w:rsid w:val="376B6AA6"/>
    <w:rsid w:val="376D39B2"/>
    <w:rsid w:val="376E1D00"/>
    <w:rsid w:val="37BD5302"/>
    <w:rsid w:val="37E16F03"/>
    <w:rsid w:val="37F53A3B"/>
    <w:rsid w:val="37FE749B"/>
    <w:rsid w:val="381F40A2"/>
    <w:rsid w:val="387C7715"/>
    <w:rsid w:val="389B6C89"/>
    <w:rsid w:val="38D469F0"/>
    <w:rsid w:val="39627CCD"/>
    <w:rsid w:val="397A0ADB"/>
    <w:rsid w:val="397BAF1F"/>
    <w:rsid w:val="3A736AF5"/>
    <w:rsid w:val="3AB79AF3"/>
    <w:rsid w:val="3AE834C0"/>
    <w:rsid w:val="3B7EF35A"/>
    <w:rsid w:val="3B9FDB6C"/>
    <w:rsid w:val="3BBE3294"/>
    <w:rsid w:val="3BF5BC2F"/>
    <w:rsid w:val="3BF66C71"/>
    <w:rsid w:val="3C345451"/>
    <w:rsid w:val="3C3E1C3D"/>
    <w:rsid w:val="3C5E4B37"/>
    <w:rsid w:val="3CEBA265"/>
    <w:rsid w:val="3D6E0891"/>
    <w:rsid w:val="3D85737C"/>
    <w:rsid w:val="3D98207C"/>
    <w:rsid w:val="3DCE51F2"/>
    <w:rsid w:val="3DEE7CF3"/>
    <w:rsid w:val="3E36391C"/>
    <w:rsid w:val="3E740A63"/>
    <w:rsid w:val="3E78745D"/>
    <w:rsid w:val="3EA477D4"/>
    <w:rsid w:val="3EE17838"/>
    <w:rsid w:val="3EF47429"/>
    <w:rsid w:val="3F55381A"/>
    <w:rsid w:val="3F7F7599"/>
    <w:rsid w:val="3FC10EA5"/>
    <w:rsid w:val="3FF4CAE0"/>
    <w:rsid w:val="3FF7B227"/>
    <w:rsid w:val="40161C34"/>
    <w:rsid w:val="40946C7F"/>
    <w:rsid w:val="41655BD5"/>
    <w:rsid w:val="41885D55"/>
    <w:rsid w:val="4191369F"/>
    <w:rsid w:val="42014C57"/>
    <w:rsid w:val="42644CFC"/>
    <w:rsid w:val="430D110E"/>
    <w:rsid w:val="43F54A3E"/>
    <w:rsid w:val="442F19E9"/>
    <w:rsid w:val="443B6647"/>
    <w:rsid w:val="448239F1"/>
    <w:rsid w:val="44AD5B3A"/>
    <w:rsid w:val="44E268DA"/>
    <w:rsid w:val="450D13D7"/>
    <w:rsid w:val="45506656"/>
    <w:rsid w:val="45B11EE5"/>
    <w:rsid w:val="464E5266"/>
    <w:rsid w:val="46D32A4F"/>
    <w:rsid w:val="46D77749"/>
    <w:rsid w:val="477E4D94"/>
    <w:rsid w:val="47A820E4"/>
    <w:rsid w:val="482C45B3"/>
    <w:rsid w:val="486A6C7A"/>
    <w:rsid w:val="49046A59"/>
    <w:rsid w:val="4A10240E"/>
    <w:rsid w:val="4A144698"/>
    <w:rsid w:val="4A627F82"/>
    <w:rsid w:val="4B0E749A"/>
    <w:rsid w:val="4B2477C4"/>
    <w:rsid w:val="4B4F25DA"/>
    <w:rsid w:val="4B7E5E68"/>
    <w:rsid w:val="4BE068DB"/>
    <w:rsid w:val="4BF14826"/>
    <w:rsid w:val="4D577224"/>
    <w:rsid w:val="4DB07878"/>
    <w:rsid w:val="4DBF1CEB"/>
    <w:rsid w:val="4DD51840"/>
    <w:rsid w:val="4DF0007C"/>
    <w:rsid w:val="4E1D65D8"/>
    <w:rsid w:val="4EAB630A"/>
    <w:rsid w:val="4ECE2238"/>
    <w:rsid w:val="4EF67B09"/>
    <w:rsid w:val="4F3F3010"/>
    <w:rsid w:val="4F833267"/>
    <w:rsid w:val="4FE9BD67"/>
    <w:rsid w:val="4FFB052F"/>
    <w:rsid w:val="50031E55"/>
    <w:rsid w:val="500C1EA8"/>
    <w:rsid w:val="50281B04"/>
    <w:rsid w:val="51632D16"/>
    <w:rsid w:val="526A53AC"/>
    <w:rsid w:val="527E1EAF"/>
    <w:rsid w:val="537E6D0A"/>
    <w:rsid w:val="53982CB5"/>
    <w:rsid w:val="53F74C96"/>
    <w:rsid w:val="54A320E1"/>
    <w:rsid w:val="55170BA8"/>
    <w:rsid w:val="55191EAD"/>
    <w:rsid w:val="553218C9"/>
    <w:rsid w:val="55487179"/>
    <w:rsid w:val="55633225"/>
    <w:rsid w:val="56097237"/>
    <w:rsid w:val="567E1AA5"/>
    <w:rsid w:val="5696489C"/>
    <w:rsid w:val="56E47B74"/>
    <w:rsid w:val="56F34C36"/>
    <w:rsid w:val="57175D52"/>
    <w:rsid w:val="578D049F"/>
    <w:rsid w:val="57BD3DD4"/>
    <w:rsid w:val="5809477E"/>
    <w:rsid w:val="596021FD"/>
    <w:rsid w:val="597A370A"/>
    <w:rsid w:val="598629F0"/>
    <w:rsid w:val="59A57A22"/>
    <w:rsid w:val="5AAB4D51"/>
    <w:rsid w:val="5AF92295"/>
    <w:rsid w:val="5B195385"/>
    <w:rsid w:val="5B250254"/>
    <w:rsid w:val="5BDD79E6"/>
    <w:rsid w:val="5BF561CA"/>
    <w:rsid w:val="5BFF5DFC"/>
    <w:rsid w:val="5C2528EA"/>
    <w:rsid w:val="5C470D42"/>
    <w:rsid w:val="5CB62828"/>
    <w:rsid w:val="5CD71FC4"/>
    <w:rsid w:val="5CD92E72"/>
    <w:rsid w:val="5D0D6ABA"/>
    <w:rsid w:val="5D1F11B5"/>
    <w:rsid w:val="5D3C3D86"/>
    <w:rsid w:val="5D695134"/>
    <w:rsid w:val="5D743EE0"/>
    <w:rsid w:val="5DAE1B18"/>
    <w:rsid w:val="5DE7D9E5"/>
    <w:rsid w:val="5E0C42CC"/>
    <w:rsid w:val="5E8835AA"/>
    <w:rsid w:val="5E8902D1"/>
    <w:rsid w:val="5EB71074"/>
    <w:rsid w:val="5ECEC941"/>
    <w:rsid w:val="5FAB1581"/>
    <w:rsid w:val="5FBF9FF3"/>
    <w:rsid w:val="5FCD4E2C"/>
    <w:rsid w:val="5FCE2B89"/>
    <w:rsid w:val="5FEF394A"/>
    <w:rsid w:val="5FF67715"/>
    <w:rsid w:val="5FF73BFE"/>
    <w:rsid w:val="6006114B"/>
    <w:rsid w:val="60266CCC"/>
    <w:rsid w:val="606210AF"/>
    <w:rsid w:val="607544CD"/>
    <w:rsid w:val="6081720E"/>
    <w:rsid w:val="60BB2A43"/>
    <w:rsid w:val="61310483"/>
    <w:rsid w:val="61F20E15"/>
    <w:rsid w:val="622B611D"/>
    <w:rsid w:val="62BF3928"/>
    <w:rsid w:val="630C6A8F"/>
    <w:rsid w:val="63363D1D"/>
    <w:rsid w:val="637A023B"/>
    <w:rsid w:val="639F0BD2"/>
    <w:rsid w:val="63B3701E"/>
    <w:rsid w:val="63F06D02"/>
    <w:rsid w:val="641D3636"/>
    <w:rsid w:val="647F5392"/>
    <w:rsid w:val="64991719"/>
    <w:rsid w:val="6511265D"/>
    <w:rsid w:val="651E51F6"/>
    <w:rsid w:val="65E66580"/>
    <w:rsid w:val="664B1D71"/>
    <w:rsid w:val="664B4E8E"/>
    <w:rsid w:val="66C40DA9"/>
    <w:rsid w:val="67277B67"/>
    <w:rsid w:val="677D2756"/>
    <w:rsid w:val="67AA3209"/>
    <w:rsid w:val="67C019F6"/>
    <w:rsid w:val="67DB0571"/>
    <w:rsid w:val="683E4D93"/>
    <w:rsid w:val="68C20FD9"/>
    <w:rsid w:val="68CB2B88"/>
    <w:rsid w:val="68CD4B9F"/>
    <w:rsid w:val="69083E29"/>
    <w:rsid w:val="6941113D"/>
    <w:rsid w:val="698D0931"/>
    <w:rsid w:val="69AF5EEE"/>
    <w:rsid w:val="69F51EE6"/>
    <w:rsid w:val="6A7711BA"/>
    <w:rsid w:val="6A7FE5F3"/>
    <w:rsid w:val="6ABB15F7"/>
    <w:rsid w:val="6AEF52A0"/>
    <w:rsid w:val="6B053271"/>
    <w:rsid w:val="6B433D86"/>
    <w:rsid w:val="6BDD78B3"/>
    <w:rsid w:val="6C4A05C8"/>
    <w:rsid w:val="6C8742B8"/>
    <w:rsid w:val="6CBD35F3"/>
    <w:rsid w:val="6D6A2812"/>
    <w:rsid w:val="6DBF5E93"/>
    <w:rsid w:val="6DEE21B0"/>
    <w:rsid w:val="6DFF077E"/>
    <w:rsid w:val="6E714EF0"/>
    <w:rsid w:val="6E7E3605"/>
    <w:rsid w:val="6E7FDCC7"/>
    <w:rsid w:val="6EC95C51"/>
    <w:rsid w:val="6ED6A62E"/>
    <w:rsid w:val="6EE00B15"/>
    <w:rsid w:val="6EFC7F8C"/>
    <w:rsid w:val="6F6FB3EB"/>
    <w:rsid w:val="6F8731EA"/>
    <w:rsid w:val="6FCE6052"/>
    <w:rsid w:val="6FD57C00"/>
    <w:rsid w:val="6FEFFFD8"/>
    <w:rsid w:val="6FF5CC65"/>
    <w:rsid w:val="6FFB47EC"/>
    <w:rsid w:val="6FFF034A"/>
    <w:rsid w:val="702D331A"/>
    <w:rsid w:val="70484440"/>
    <w:rsid w:val="70757E8B"/>
    <w:rsid w:val="70D127A3"/>
    <w:rsid w:val="710F390D"/>
    <w:rsid w:val="712A28F1"/>
    <w:rsid w:val="715C0E4B"/>
    <w:rsid w:val="71992E7C"/>
    <w:rsid w:val="72233669"/>
    <w:rsid w:val="72734D90"/>
    <w:rsid w:val="73024159"/>
    <w:rsid w:val="73160E6D"/>
    <w:rsid w:val="7332FE48"/>
    <w:rsid w:val="73AB61DA"/>
    <w:rsid w:val="73AD73D5"/>
    <w:rsid w:val="73B6EB34"/>
    <w:rsid w:val="73FA497D"/>
    <w:rsid w:val="744731E5"/>
    <w:rsid w:val="74BBD01D"/>
    <w:rsid w:val="74E34252"/>
    <w:rsid w:val="74ED5379"/>
    <w:rsid w:val="75D15B03"/>
    <w:rsid w:val="75DEEEC2"/>
    <w:rsid w:val="75E32345"/>
    <w:rsid w:val="75F45394"/>
    <w:rsid w:val="76927A47"/>
    <w:rsid w:val="76E3355F"/>
    <w:rsid w:val="76FF5125"/>
    <w:rsid w:val="776F6FFA"/>
    <w:rsid w:val="778769C8"/>
    <w:rsid w:val="77A75DCA"/>
    <w:rsid w:val="77DC22F5"/>
    <w:rsid w:val="78267E28"/>
    <w:rsid w:val="783E271A"/>
    <w:rsid w:val="78616DE9"/>
    <w:rsid w:val="78D244C8"/>
    <w:rsid w:val="78E875D7"/>
    <w:rsid w:val="79006A46"/>
    <w:rsid w:val="7907149F"/>
    <w:rsid w:val="79086DAD"/>
    <w:rsid w:val="792156E0"/>
    <w:rsid w:val="795F53B0"/>
    <w:rsid w:val="79D7FD79"/>
    <w:rsid w:val="79EE5BA4"/>
    <w:rsid w:val="7A245426"/>
    <w:rsid w:val="7A894339"/>
    <w:rsid w:val="7AD284E8"/>
    <w:rsid w:val="7AFF7572"/>
    <w:rsid w:val="7B095D14"/>
    <w:rsid w:val="7B6C7DFB"/>
    <w:rsid w:val="7B95510A"/>
    <w:rsid w:val="7BA37F33"/>
    <w:rsid w:val="7BBFBED0"/>
    <w:rsid w:val="7BC3E394"/>
    <w:rsid w:val="7C1F3737"/>
    <w:rsid w:val="7C4E2200"/>
    <w:rsid w:val="7CBFC87B"/>
    <w:rsid w:val="7CCF5FD1"/>
    <w:rsid w:val="7CD53075"/>
    <w:rsid w:val="7CF53C93"/>
    <w:rsid w:val="7CFE0F48"/>
    <w:rsid w:val="7D1022BE"/>
    <w:rsid w:val="7D272ABC"/>
    <w:rsid w:val="7D7EC23E"/>
    <w:rsid w:val="7E5106CC"/>
    <w:rsid w:val="7E8ADEBF"/>
    <w:rsid w:val="7EEF11D3"/>
    <w:rsid w:val="7EFE4840"/>
    <w:rsid w:val="7F0971A6"/>
    <w:rsid w:val="7F15170F"/>
    <w:rsid w:val="7F1D62E7"/>
    <w:rsid w:val="7F3F679B"/>
    <w:rsid w:val="7F4FC4EF"/>
    <w:rsid w:val="7F5E4D54"/>
    <w:rsid w:val="7F6E0135"/>
    <w:rsid w:val="7F79F205"/>
    <w:rsid w:val="7FA30C79"/>
    <w:rsid w:val="7FA79C44"/>
    <w:rsid w:val="7FAF8ABF"/>
    <w:rsid w:val="7FB7269E"/>
    <w:rsid w:val="7FC96657"/>
    <w:rsid w:val="7FDA9588"/>
    <w:rsid w:val="7FDF220F"/>
    <w:rsid w:val="7FE30495"/>
    <w:rsid w:val="7FEDC5F7"/>
    <w:rsid w:val="7FEDD9DE"/>
    <w:rsid w:val="7FF4065B"/>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收入、支出决算总计变动情况图（单位：万元）</a:t>
            </a:r>
          </a:p>
        </c:rich>
      </c:tx>
      <c:layout>
        <c:manualLayout>
          <c:xMode val="edge"/>
          <c:yMode val="edge"/>
          <c:x val="0.155713940565354"/>
          <c:y val="0.035911602209944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897.37</c:v>
                </c:pt>
                <c:pt idx="1">
                  <c:v>897.72</c:v>
                </c:pt>
              </c:numCache>
            </c:numRef>
          </c:val>
        </c:ser>
        <c:ser>
          <c:idx val="1"/>
          <c:order val="1"/>
          <c:tx>
            <c:strRef>
              <c:f>Sheet1!$C$1</c:f>
              <c:strCache>
                <c:ptCount val="1"/>
                <c:pt idx="0">
                  <c:v>支出</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Sheet1!$C$2:$C$3</c:f>
              <c:numCache>
                <c:formatCode>General</c:formatCode>
                <c:ptCount val="2"/>
                <c:pt idx="0">
                  <c:v>897.37</c:v>
                </c:pt>
                <c:pt idx="1">
                  <c:v>897.72</c:v>
                </c:pt>
              </c:numCache>
            </c:numRef>
          </c:val>
        </c:ser>
        <c:dLbls>
          <c:showLegendKey val="0"/>
          <c:showVal val="1"/>
          <c:showCatName val="0"/>
          <c:showSerName val="0"/>
          <c:showPercent val="0"/>
          <c:showBubbleSize val="0"/>
        </c:dLbls>
        <c:gapWidth val="216"/>
        <c:overlap val="-32"/>
        <c:axId val="84524881"/>
        <c:axId val="345049730"/>
      </c:barChart>
      <c:catAx>
        <c:axId val="8452488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45049730"/>
        <c:crosses val="autoZero"/>
        <c:auto val="1"/>
        <c:lblAlgn val="ctr"/>
        <c:lblOffset val="100"/>
        <c:noMultiLvlLbl val="0"/>
      </c:catAx>
      <c:valAx>
        <c:axId val="345049730"/>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4524881"/>
        <c:crosses val="autoZero"/>
        <c:crossBetween val="between"/>
      </c:valAx>
      <c:dTable>
        <c:showHorzBorder val="1"/>
        <c:showVertBorder val="1"/>
        <c:showOutline val="1"/>
        <c:showKeys val="1"/>
        <c:spPr>
          <a:noFill/>
          <a:ln w="9525" cap="flat" cmpd="sng" algn="ctr">
            <a:solidFill>
              <a:schemeClr val="tx1">
                <a:lumMod val="50000"/>
                <a:lumOff val="50000"/>
                <a:alpha val="25000"/>
              </a:schemeClr>
            </a:solidFill>
            <a:round/>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Table>
      <c:spPr>
        <a:noFill/>
        <a:ln>
          <a:noFill/>
        </a:ln>
        <a:effectLst/>
      </c:spPr>
    </c:plotArea>
    <c:plotVisOnly val="1"/>
    <c:dispBlanksAs val="gap"/>
    <c:showDLblsOverMax val="0"/>
  </c:chart>
  <c:spPr>
    <a:solidFill>
      <a:schemeClr val="bg1"/>
    </a:solidFill>
    <a:ln w="9525" cap="flat" cmpd="sng" algn="ctr">
      <a:solidFill>
        <a:sysClr val="windowText" lastClr="000000"/>
      </a:solidFill>
      <a:prstDash val="solid"/>
      <a:round/>
    </a:ln>
    <a:effectLst/>
  </c:spPr>
  <c:txPr>
    <a:bodyPr/>
    <a:lstStyle/>
    <a:p>
      <a:pPr>
        <a:defRPr lang="zh-CN" b="0">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收入决算结构图（单位：万元）</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销售额</c:v>
                </c:pt>
              </c:strCache>
            </c:strRef>
          </c:tx>
          <c:spPr/>
          <c:explosion val="0"/>
          <c:dPt>
            <c:idx val="0"/>
            <c:bubble3D val="0"/>
            <c:spPr>
              <a:solidFill>
                <a:schemeClr val="accent1"/>
              </a:solidFill>
              <a:ln>
                <a:gradFill>
                  <a:gsLst>
                    <a:gs pos="0">
                      <a:schemeClr val="accent1"/>
                    </a:gs>
                    <a:gs pos="100000">
                      <a:schemeClr val="accent1">
                        <a:lumMod val="75000"/>
                      </a:schemeClr>
                    </a:gs>
                  </a:gsLst>
                  <a:lin ang="5400000" scaled="1"/>
                </a:gradFill>
              </a:ln>
              <a:effectLst/>
            </c:spPr>
          </c:dPt>
          <c:dPt>
            <c:idx val="1"/>
            <c:bubble3D val="0"/>
            <c:spPr>
              <a:solidFill>
                <a:schemeClr val="accent2"/>
              </a:solidFill>
              <a:ln>
                <a:gradFill>
                  <a:gsLst>
                    <a:gs pos="0">
                      <a:schemeClr val="accent2"/>
                    </a:gs>
                    <a:gs pos="100000">
                      <a:schemeClr val="accent2">
                        <a:lumMod val="75000"/>
                      </a:schemeClr>
                    </a:gs>
                  </a:gsLst>
                  <a:lin ang="5400000" scaled="1"/>
                </a:gradFill>
              </a:ln>
              <a:effectLst/>
            </c:spPr>
          </c:dPt>
          <c:dLbls>
            <c:dLbl>
              <c:idx val="0"/>
              <c:layout>
                <c:manualLayout>
                  <c:x val="0.186747952212599"/>
                  <c:y val="-0.15715696498586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一般公共预算财政拨款收入772.586</a:t>
                    </a:r>
                    <a:r>
                      <a:rPr lang="en-US" altLang="zh-CN"/>
                      <a:t>.27</a:t>
                    </a:r>
                    <a:r>
                      <a:t>%</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0879136739615676"/>
                  <c:y val="-0.0034162916564743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其他收入1231</a:t>
                    </a:r>
                    <a:r>
                      <a:rPr lang="en-US" altLang="zh-CN"/>
                      <a:t>3.73</a:t>
                    </a:r>
                    <a:r>
                      <a:t>%</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772.5</c:v>
                </c:pt>
                <c:pt idx="1">
                  <c:v>123</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支出决算结构图（单位：万元）</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销售额</c:v>
                </c:pt>
              </c:strCache>
            </c:strRef>
          </c:tx>
          <c:spPr>
            <a:gradFill>
              <a:gsLst>
                <a:gs pos="0">
                  <a:schemeClr val="accent1">
                    <a:lumMod val="40000"/>
                    <a:lumOff val="60000"/>
                  </a:schemeClr>
                </a:gs>
                <a:gs pos="90000">
                  <a:srgbClr val="FF0000"/>
                </a:gs>
              </a:gsLst>
              <a:lin ang="5400000" scaled="0"/>
            </a:gradFill>
          </c:spPr>
          <c:explosion val="0"/>
          <c:dPt>
            <c:idx val="0"/>
            <c:bubble3D val="0"/>
            <c:spPr>
              <a:solidFill>
                <a:schemeClr val="accent2"/>
              </a:solidFill>
              <a:ln>
                <a:gradFill>
                  <a:gsLst>
                    <a:gs pos="0">
                      <a:schemeClr val="accent1"/>
                    </a:gs>
                    <a:gs pos="100000">
                      <a:schemeClr val="accent1">
                        <a:lumMod val="75000"/>
                      </a:schemeClr>
                    </a:gs>
                  </a:gsLst>
                  <a:lin ang="5400000" scaled="1"/>
                </a:gradFill>
              </a:ln>
              <a:effectLst/>
            </c:spPr>
          </c:dPt>
          <c:dPt>
            <c:idx val="1"/>
            <c:bubble3D val="0"/>
            <c:spPr>
              <a:solidFill>
                <a:schemeClr val="accent1"/>
              </a:solidFill>
              <a:ln>
                <a:gradFill>
                  <a:gsLst>
                    <a:gs pos="0">
                      <a:schemeClr val="accent2"/>
                    </a:gs>
                    <a:gs pos="100000">
                      <a:schemeClr val="accent2">
                        <a:lumMod val="75000"/>
                      </a:schemeClr>
                    </a:gs>
                  </a:gsLst>
                  <a:lin ang="5400000" scaled="1"/>
                </a:gradFill>
              </a:ln>
              <a:effectLst/>
            </c:spPr>
          </c:dPt>
          <c:dLbls>
            <c:dLbl>
              <c:idx val="0"/>
              <c:layout>
                <c:manualLayout>
                  <c:x val="0.126346889153889"/>
                  <c:y val="0.015763717061313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基本支出226.2525</a:t>
                    </a:r>
                    <a:r>
                      <a:rPr lang="en-US" altLang="zh-CN"/>
                      <a:t>.20</a:t>
                    </a:r>
                    <a:r>
                      <a:t>%</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0879136739615676"/>
                  <c:y val="-1.63766543493834e-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671.477</a:t>
                    </a:r>
                    <a:r>
                      <a:rPr lang="en-US" altLang="zh-CN"/>
                      <a:t>4.80</a:t>
                    </a:r>
                    <a:r>
                      <a:t>%</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226.25</c:v>
                </c:pt>
                <c:pt idx="1">
                  <c:v>671.47</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855.73</c:v>
                </c:pt>
                <c:pt idx="1">
                  <c:v>772.85</c:v>
                </c:pt>
              </c:numCache>
            </c:numRef>
          </c:val>
        </c:ser>
        <c:ser>
          <c:idx val="1"/>
          <c:order val="1"/>
          <c:tx>
            <c:strRef>
              <c:f>Sheet1!$C$1</c:f>
              <c:strCache>
                <c:ptCount val="1"/>
                <c:pt idx="0">
                  <c:v>支出</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Sheet1!$C$2:$C$3</c:f>
              <c:numCache>
                <c:formatCode>General</c:formatCode>
                <c:ptCount val="2"/>
                <c:pt idx="0">
                  <c:v>855.73</c:v>
                </c:pt>
                <c:pt idx="1">
                  <c:v>772.85</c:v>
                </c:pt>
              </c:numCache>
            </c:numRef>
          </c:val>
        </c:ser>
        <c:dLbls>
          <c:showLegendKey val="0"/>
          <c:showVal val="1"/>
          <c:showCatName val="0"/>
          <c:showSerName val="0"/>
          <c:showPercent val="0"/>
          <c:showBubbleSize val="0"/>
        </c:dLbls>
        <c:gapWidth val="216"/>
        <c:overlap val="-32"/>
        <c:axId val="84524881"/>
        <c:axId val="345049730"/>
      </c:barChart>
      <c:catAx>
        <c:axId val="8452488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049730"/>
        <c:crosses val="autoZero"/>
        <c:auto val="1"/>
        <c:lblAlgn val="ctr"/>
        <c:lblOffset val="100"/>
        <c:noMultiLvlLbl val="0"/>
      </c:catAx>
      <c:valAx>
        <c:axId val="345049730"/>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2488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sz="1200"/>
              <a:t>一般公共预算财政拨款支出决算变动图（单位：万元）</a:t>
            </a:r>
            <a:endParaRPr sz="1200"/>
          </a:p>
        </c:rich>
      </c:tx>
      <c:layout>
        <c:manualLayout>
          <c:xMode val="edge"/>
          <c:yMode val="edge"/>
          <c:x val="0.131191108963518"/>
          <c:y val="0.0155348424323125"/>
        </c:manualLayout>
      </c:layout>
      <c:overlay val="0"/>
      <c:spPr>
        <a:noFill/>
        <a:ln>
          <a:noFill/>
        </a:ln>
        <a:effectLst/>
      </c:spPr>
    </c:title>
    <c:autoTitleDeleted val="0"/>
    <c:plotArea>
      <c:layout/>
      <c:barChart>
        <c:barDir val="col"/>
        <c:grouping val="clustered"/>
        <c:varyColors val="0"/>
        <c:ser>
          <c:idx val="1"/>
          <c:order val="0"/>
          <c:tx>
            <c:strRef>
              <c:f>Sheet1!$B$1</c:f>
              <c:strCache>
                <c:ptCount val="1"/>
                <c:pt idx="0">
                  <c:v>支出</c:v>
                </c:pt>
              </c:strCache>
            </c:strRef>
          </c:tx>
          <c:spPr>
            <a:solidFill>
              <a:schemeClr val="accent2"/>
            </a:solidFill>
            <a:ln>
              <a:noFill/>
            </a:ln>
            <a:effectLst/>
          </c:spPr>
          <c:invertIfNegative val="0"/>
          <c:dPt>
            <c:idx val="0"/>
            <c:invertIfNegative val="0"/>
            <c:bubble3D val="0"/>
            <c:spPr>
              <a:solidFill>
                <a:schemeClr val="tx2"/>
              </a:solidFill>
              <a:ln>
                <a:noFill/>
              </a:ln>
              <a:effectLst/>
            </c:spPr>
          </c:dPt>
          <c:dPt>
            <c:idx val="1"/>
            <c:invertIfNegative val="0"/>
            <c:bubble3D val="0"/>
            <c:spPr>
              <a:solidFill>
                <a:schemeClr val="tx2"/>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855.73</c:v>
                </c:pt>
                <c:pt idx="1">
                  <c:v>772.85</c:v>
                </c:pt>
              </c:numCache>
            </c:numRef>
          </c:val>
        </c:ser>
        <c:dLbls>
          <c:showLegendKey val="0"/>
          <c:showVal val="1"/>
          <c:showCatName val="0"/>
          <c:showSerName val="0"/>
          <c:showPercent val="0"/>
          <c:showBubbleSize val="0"/>
        </c:dLbls>
        <c:gapWidth val="216"/>
        <c:overlap val="-32"/>
        <c:axId val="84524881"/>
        <c:axId val="345049730"/>
      </c:barChart>
      <c:catAx>
        <c:axId val="84524881"/>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049730"/>
        <c:crosses val="autoZero"/>
        <c:auto val="1"/>
        <c:lblAlgn val="ctr"/>
        <c:lblOffset val="100"/>
        <c:noMultiLvlLbl val="0"/>
      </c:catAx>
      <c:valAx>
        <c:axId val="345049730"/>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2488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sz="9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一般公共预算财政拨款支出决算结构图（单位：万元）</a:t>
            </a:r>
            <a:endParaRPr sz="1000"/>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销售额</c:v>
                </c:pt>
              </c:strCache>
            </c:strRef>
          </c:tx>
          <c:spPr/>
          <c:explosion val="0"/>
          <c:dPt>
            <c:idx val="0"/>
            <c:bubble3D val="0"/>
            <c:spPr>
              <a:solidFill>
                <a:schemeClr val="accent1"/>
              </a:solidFill>
              <a:ln>
                <a:gradFill>
                  <a:gsLst>
                    <a:gs pos="0">
                      <a:schemeClr val="accent1"/>
                    </a:gs>
                    <a:gs pos="100000">
                      <a:schemeClr val="accent1">
                        <a:lumMod val="75000"/>
                      </a:schemeClr>
                    </a:gs>
                  </a:gsLst>
                  <a:lin ang="5400000" scaled="1"/>
                </a:gradFill>
              </a:ln>
              <a:effectLst/>
            </c:spPr>
          </c:dPt>
          <c:dPt>
            <c:idx val="1"/>
            <c:bubble3D val="0"/>
            <c:spPr>
              <a:solidFill>
                <a:schemeClr val="accent2"/>
              </a:solidFill>
              <a:ln>
                <a:gradFill>
                  <a:gsLst>
                    <a:gs pos="0">
                      <a:schemeClr val="accent2"/>
                    </a:gs>
                    <a:gs pos="100000">
                      <a:schemeClr val="accent2">
                        <a:lumMod val="75000"/>
                      </a:schemeClr>
                    </a:gs>
                  </a:gsLst>
                  <a:lin ang="5400000" scaled="1"/>
                </a:gradFill>
              </a:ln>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c:spPr>
          </c:dPt>
          <c:dLbls>
            <c:dLbl>
              <c:idx val="0"/>
              <c:layout>
                <c:manualLayout>
                  <c:x val="0.315643820779886"/>
                  <c:y val="-0.14993214560635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mn-lt"/>
                        <a:ea typeface="+mn-ea"/>
                        <a:cs typeface="+mn-cs"/>
                      </a:defRPr>
                    </a:pPr>
                    <a:r>
                      <a:rPr sz="800"/>
                      <a:t>社会保障和就业支出745.3696</a:t>
                    </a:r>
                    <a:r>
                      <a:rPr lang="en-US" altLang="zh-CN" sz="800"/>
                      <a:t>.44</a:t>
                    </a:r>
                    <a:r>
                      <a:rPr sz="800"/>
                      <a:t>%</a:t>
                    </a:r>
                    <a:endParaRPr sz="80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271170499281693"/>
                  <c:y val="0.124080520923211"/>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mn-lt"/>
                        <a:ea typeface="+mn-ea"/>
                        <a:cs typeface="+mn-cs"/>
                      </a:defRPr>
                    </a:pPr>
                    <a:r>
                      <a:rPr sz="800"/>
                      <a:t>卫生健康支出12.31</a:t>
                    </a:r>
                    <a:endParaRPr sz="800"/>
                  </a:p>
                  <a:p>
                    <a:pPr defTabSz="914400">
                      <a:defRPr lang="zh-CN" sz="800" b="0" i="0" u="none" strike="noStrike" kern="1200" baseline="0">
                        <a:solidFill>
                          <a:schemeClr val="tx1">
                            <a:lumMod val="75000"/>
                            <a:lumOff val="25000"/>
                          </a:schemeClr>
                        </a:solidFill>
                        <a:latin typeface="+mn-lt"/>
                        <a:ea typeface="+mn-ea"/>
                        <a:cs typeface="+mn-cs"/>
                      </a:defRPr>
                    </a:pPr>
                    <a:r>
                      <a:rPr lang="en-US" altLang="zh-CN" sz="800"/>
                      <a:t>1.59</a:t>
                    </a:r>
                    <a:r>
                      <a:rPr sz="800"/>
                      <a:t>%</a:t>
                    </a:r>
                    <a:endParaRPr sz="80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2"/>
              <c:layout>
                <c:manualLayout>
                  <c:x val="0.287511424177172"/>
                  <c:y val="0.060403476353983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mn-lt"/>
                        <a:ea typeface="+mn-ea"/>
                        <a:cs typeface="+mn-cs"/>
                      </a:defRPr>
                    </a:pPr>
                    <a:r>
                      <a:rPr sz="800"/>
                      <a:t>住房保障支出15.18</a:t>
                    </a:r>
                    <a:endParaRPr sz="800"/>
                  </a:p>
                  <a:p>
                    <a:pPr defTabSz="914400">
                      <a:defRPr lang="zh-CN" sz="800" b="0" i="0" u="none" strike="noStrike" kern="1200" baseline="0">
                        <a:solidFill>
                          <a:schemeClr val="tx1">
                            <a:lumMod val="75000"/>
                            <a:lumOff val="25000"/>
                          </a:schemeClr>
                        </a:solidFill>
                        <a:latin typeface="+mn-lt"/>
                        <a:ea typeface="+mn-ea"/>
                        <a:cs typeface="+mn-cs"/>
                      </a:defRPr>
                    </a:pPr>
                    <a:r>
                      <a:rPr lang="en-US" altLang="zh-CN" sz="800"/>
                      <a:t>1.97</a:t>
                    </a:r>
                    <a:r>
                      <a:rPr sz="800"/>
                      <a:t>%</a:t>
                    </a:r>
                    <a:endParaRPr sz="80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745.36</c:v>
                </c:pt>
                <c:pt idx="1">
                  <c:v>12.31</c:v>
                </c:pt>
                <c:pt idx="2">
                  <c:v>15.18</c:v>
                </c:pt>
              </c:numCache>
            </c:numRef>
          </c:val>
        </c:ser>
        <c:dLbls>
          <c:showLegendKey val="0"/>
          <c:showVal val="1"/>
          <c:showCatName val="0"/>
          <c:showSerName val="0"/>
          <c:showPercent val="0"/>
          <c:showBubbleSize val="0"/>
        </c:dLbls>
      </c:pie3DChart>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sz="8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a:t>
            </a:r>
            <a:r>
              <a:rPr altLang="en-US"/>
              <a:t>三公</a:t>
            </a:r>
            <a:r>
              <a:rPr lang="en-US" altLang="zh-CN"/>
              <a:t>”</a:t>
            </a:r>
            <a:r>
              <a:rPr altLang="en-US"/>
              <a:t>经费财政拨款支出</a:t>
            </a:r>
            <a:r>
              <a:t>结构图（单位：万元）</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17443827011355"/>
          <c:y val="0.181682957926052"/>
          <c:w val="0.946847064508335"/>
          <c:h val="0.695070123246919"/>
        </c:manualLayout>
      </c:layout>
      <c:pie3DChart>
        <c:varyColors val="1"/>
        <c:ser>
          <c:idx val="0"/>
          <c:order val="0"/>
          <c:tx>
            <c:strRef>
              <c:f>Sheet1!$B$1</c:f>
              <c:strCache>
                <c:ptCount val="1"/>
                <c:pt idx="0">
                  <c:v>销售额</c:v>
                </c:pt>
              </c:strCache>
            </c:strRef>
          </c:tx>
          <c:spPr>
            <a:solidFill>
              <a:srgbClr val="FF0000"/>
            </a:solidFill>
          </c:spPr>
          <c:explosion val="0"/>
          <c:dPt>
            <c:idx val="0"/>
            <c:bubble3D val="0"/>
            <c:spPr>
              <a:solidFill>
                <a:schemeClr val="tx2"/>
              </a:solidFill>
              <a:ln>
                <a:gradFill>
                  <a:gsLst>
                    <a:gs pos="0">
                      <a:schemeClr val="accent1"/>
                    </a:gs>
                    <a:gs pos="100000">
                      <a:schemeClr val="accent1">
                        <a:lumMod val="75000"/>
                      </a:schemeClr>
                    </a:gs>
                  </a:gsLst>
                  <a:lin ang="5400000" scaled="1"/>
                </a:gradFill>
              </a:ln>
              <a:effectLst/>
            </c:spPr>
          </c:dPt>
          <c:dPt>
            <c:idx val="1"/>
            <c:bubble3D val="0"/>
            <c:spPr>
              <a:solidFill>
                <a:schemeClr val="accent2"/>
              </a:solidFill>
              <a:ln>
                <a:gradFill>
                  <a:gsLst>
                    <a:gs pos="0">
                      <a:schemeClr val="accent2"/>
                    </a:gs>
                    <a:gs pos="100000">
                      <a:schemeClr val="accent2">
                        <a:lumMod val="75000"/>
                      </a:schemeClr>
                    </a:gs>
                  </a:gsLst>
                  <a:lin ang="5400000" scaled="1"/>
                </a:gradFill>
              </a:ln>
              <a:effectLst/>
            </c:spPr>
          </c:dPt>
          <c:dLbls>
            <c:dLbl>
              <c:idx val="0"/>
              <c:layout>
                <c:manualLayout>
                  <c:x val="0.186627150086481"/>
                  <c:y val="-0.18083297917552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公务用车购置及运行维护费支出1.128</a:t>
                    </a:r>
                    <a:r>
                      <a:rPr lang="en-US" altLang="zh-CN"/>
                      <a:t>4.85</a:t>
                    </a:r>
                    <a:r>
                      <a:t>%</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128140781958668"/>
                  <c:y val="0.053107295253852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公务接待费支出0.215</a:t>
                    </a:r>
                    <a:r>
                      <a:rPr lang="en-US" altLang="zh-CN"/>
                      <a:t>.15</a:t>
                    </a:r>
                    <a:r>
                      <a:t>%</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1.12</c:v>
                </c:pt>
                <c:pt idx="1">
                  <c:v>0.2</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9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9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9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9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5645</Words>
  <Characters>6205</Characters>
  <Lines>61</Lines>
  <Paragraphs>17</Paragraphs>
  <TotalTime>2</TotalTime>
  <ScaleCrop>false</ScaleCrop>
  <LinksUpToDate>false</LinksUpToDate>
  <CharactersWithSpaces>6294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ylp</cp:lastModifiedBy>
  <cp:lastPrinted>2025-08-06T17:34:00Z</cp:lastPrinted>
  <dcterms:modified xsi:type="dcterms:W3CDTF">2025-09-11T09:35:28Z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04787F2533EB45DC91BCDE4AB213247F</vt:lpwstr>
  </property>
</Properties>
</file>