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3"/>
        <w:rPr>
          <w:rFonts w:ascii="Times New Roman" w:eastAsia="方正小标宋简体"/>
          <w:kern w:val="2"/>
          <w:sz w:val="72"/>
          <w:szCs w:val="72"/>
        </w:rPr>
      </w:pPr>
      <w:bookmarkStart w:id="129" w:name="_GoBack"/>
      <w:bookmarkEnd w:id="129"/>
      <w:bookmarkStart w:id="0" w:name="_Toc15377193"/>
      <w:bookmarkStart w:id="1" w:name="_Toc15396597"/>
      <w:bookmarkStart w:id="2" w:name="_Toc15396475"/>
      <w:bookmarkStart w:id="3" w:name="_Toc15377425"/>
      <w:bookmarkStart w:id="4" w:name="_Toc15306267"/>
      <w:bookmarkStart w:id="5" w:name="_Toc15378441"/>
    </w:p>
    <w:p>
      <w:pPr>
        <w:pStyle w:val="2"/>
        <w:spacing w:before="93"/>
        <w:rPr>
          <w:rFonts w:hint="eastAsia" w:ascii="Times New Roman" w:eastAsia="方正小标宋简体"/>
          <w:kern w:val="2"/>
          <w:sz w:val="72"/>
          <w:szCs w:val="72"/>
        </w:rPr>
      </w:pPr>
    </w:p>
    <w:p>
      <w:pPr>
        <w:pStyle w:val="2"/>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攀枝花市退役军人事务局</w:t>
      </w:r>
    </w:p>
    <w:p>
      <w:pPr>
        <w:pStyle w:val="2"/>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pPr>
        <w:pStyle w:val="19"/>
        <w:rPr>
          <w:rFonts w:ascii="Times New Roman" w:hAnsi="Times New Roman"/>
        </w:rPr>
      </w:pPr>
    </w:p>
    <w:p>
      <w:pPr>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2025年度</w:t>
      </w:r>
      <w:bookmarkStart w:id="6" w:name="_Toc15377426"/>
      <w:bookmarkStart w:id="7" w:name="_Toc15396476"/>
      <w:bookmarkStart w:id="8" w:name="_Toc15377194"/>
      <w:bookmarkStart w:id="9" w:name="_Toc15396598"/>
      <w:bookmarkStart w:id="10" w:name="_Toc15378442"/>
    </w:p>
    <w:p>
      <w:pPr>
        <w:pStyle w:val="2"/>
        <w:jc w:val="center"/>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1" w:name="_Toc15306268"/>
      <w:r>
        <w:rPr>
          <w:rFonts w:hint="eastAsia" w:ascii="方正小标宋简体" w:hAnsi="宋体" w:eastAsia="方正小标宋简体" w:cs="Times New Roman"/>
          <w:color w:val="auto"/>
          <w:kern w:val="2"/>
          <w:sz w:val="44"/>
          <w:szCs w:val="44"/>
          <w:highlight w:val="none"/>
          <w:lang w:val="en-US" w:eastAsia="zh-CN" w:bidi="ar-SA"/>
        </w:rPr>
        <w:t>攀枝花市退役军人事务局决算</w:t>
      </w:r>
      <w:bookmarkEnd w:id="6"/>
      <w:bookmarkEnd w:id="7"/>
      <w:bookmarkEnd w:id="8"/>
      <w:bookmarkEnd w:id="9"/>
      <w:bookmarkEnd w:id="10"/>
      <w:bookmarkEnd w:id="11"/>
    </w:p>
    <w:p>
      <w:pPr>
        <w:pStyle w:val="2"/>
        <w:spacing w:before="93"/>
        <w:jc w:val="both"/>
        <w:rPr>
          <w:rFonts w:ascii="Times New Roman" w:eastAsia="方正小标宋简体"/>
          <w:kern w:val="2"/>
          <w:sz w:val="44"/>
          <w:szCs w:val="44"/>
        </w:rPr>
      </w:pPr>
    </w:p>
    <w:bookmarkEnd w:id="0"/>
    <w:bookmarkEnd w:id="1"/>
    <w:bookmarkEnd w:id="2"/>
    <w:bookmarkEnd w:id="3"/>
    <w:bookmarkEnd w:id="4"/>
    <w:bookmarkEnd w:id="5"/>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2"/>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eastAsia" w:ascii="Times New Roman" w:hAnsi="Times New Roman" w:eastAsia="仿宋_GB2312" w:cs="仿宋_GB2312"/>
          <w:sz w:val="32"/>
          <w:szCs w:val="32"/>
          <w:lang w:eastAsia="zh-CN"/>
        </w:rPr>
        <w:t>９</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eastAsia="zh-CN"/>
        </w:rPr>
        <w:t>10</w:t>
      </w:r>
      <w:r>
        <w:rPr>
          <w:rFonts w:hint="eastAsia" w:ascii="Times New Roman" w:hAnsi="Times New Roman" w:eastAsia="仿宋_GB2312" w:cs="仿宋_GB2312"/>
          <w:sz w:val="32"/>
          <w:szCs w:val="32"/>
        </w:rPr>
        <w:t>日</w:t>
      </w:r>
    </w:p>
    <w:sdt>
      <w:sdtPr>
        <w:rPr>
          <w:rFonts w:ascii="宋体" w:hAnsi="宋体" w:eastAsia="宋体" w:cs="Times New Roman"/>
          <w:kern w:val="2"/>
          <w:sz w:val="21"/>
          <w:szCs w:val="24"/>
          <w:lang w:val="en-US" w:eastAsia="zh-CN" w:bidi="ar-SA"/>
        </w:rPr>
        <w:id w:val="667960391"/>
        <w:docPartObj>
          <w:docPartGallery w:val="Table of Contents"/>
          <w:docPartUnique/>
        </w:docPartObj>
      </w:sdtPr>
      <w:sdtEndPr>
        <w:rPr>
          <w:rFonts w:ascii="宋体" w:hAnsi="宋体" w:eastAsia="宋体" w:cs="Times New Roman"/>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12" w:name="_Toc388674381_WPSOffice_Type2"/>
        </w:p>
        <w:p>
          <w:pPr>
            <w:pStyle w:val="36"/>
            <w:tabs>
              <w:tab w:val="right" w:leader="dot" w:pos="8306"/>
            </w:tabs>
            <w:rPr>
              <w:sz w:val="28"/>
              <w:szCs w:val="28"/>
            </w:rPr>
          </w:pPr>
          <w:r>
            <w:rPr>
              <w:b/>
              <w:bCs/>
              <w:sz w:val="28"/>
              <w:szCs w:val="28"/>
            </w:rPr>
            <w:fldChar w:fldCharType="begin"/>
          </w:r>
          <w:r>
            <w:rPr>
              <w:sz w:val="28"/>
              <w:szCs w:val="28"/>
            </w:rPr>
            <w:instrText xml:space="preserve"> HYPERLINK \l _Toc1636667978_WPSOffice_Level1 </w:instrText>
          </w:r>
          <w:r>
            <w:rPr>
              <w:b/>
              <w:bCs/>
              <w:sz w:val="28"/>
              <w:szCs w:val="28"/>
            </w:rPr>
            <w:fldChar w:fldCharType="separate"/>
          </w:r>
          <w:sdt>
            <w:sdtPr>
              <w:rPr>
                <w:rFonts w:ascii="仿宋_GB2312" w:hAnsi="Times New Roman" w:eastAsia="仿宋_GB2312" w:cs="Times New Roman"/>
                <w:b/>
                <w:bCs/>
                <w:kern w:val="0"/>
                <w:sz w:val="28"/>
                <w:szCs w:val="28"/>
                <w:lang w:val="en-US" w:eastAsia="zh-CN" w:bidi="ar-SA"/>
              </w:rPr>
              <w:id w:val="667960391"/>
              <w:placeholder>
                <w:docPart w:val="{eb1e4656-852d-484b-bb3c-b38415ff5cd5}"/>
              </w:placeholder>
            </w:sdtPr>
            <w:sdtEndPr>
              <w:rPr>
                <w:rFonts w:ascii="仿宋_GB2312" w:hAnsi="Times New Roman" w:eastAsia="仿宋_GB2312" w:cs="Times New Roman"/>
                <w:b/>
                <w:bCs/>
                <w:kern w:val="0"/>
                <w:sz w:val="28"/>
                <w:szCs w:val="28"/>
                <w:lang w:val="en-US" w:eastAsia="zh-CN" w:bidi="ar-SA"/>
              </w:rPr>
            </w:sdtEndPr>
            <w:sdtContent>
              <w:r>
                <w:rPr>
                  <w:rFonts w:hint="eastAsia" w:ascii="Times New Roman" w:hAnsi="Times New Roman" w:eastAsia="方正小标宋简体" w:cs="方正小标宋简体"/>
                  <w:b/>
                  <w:bCs/>
                  <w:sz w:val="28"/>
                  <w:szCs w:val="28"/>
                </w:rPr>
                <w:t>第一部分  单位概况</w:t>
              </w:r>
            </w:sdtContent>
          </w:sdt>
          <w:r>
            <w:rPr>
              <w:b/>
              <w:bCs/>
              <w:sz w:val="28"/>
              <w:szCs w:val="28"/>
            </w:rPr>
            <w:tab/>
          </w:r>
          <w:bookmarkStart w:id="13" w:name="_Toc1636667978_WPSOffice_Level1Page"/>
          <w:r>
            <w:rPr>
              <w:b/>
              <w:bCs/>
              <w:sz w:val="28"/>
              <w:szCs w:val="28"/>
            </w:rPr>
            <w:t>3</w:t>
          </w:r>
          <w:bookmarkEnd w:id="13"/>
          <w:r>
            <w:rPr>
              <w:b/>
              <w:bCs/>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_Toc388674381_WPSOffice_Level2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6f125caf-dfb0-4b2b-ae40-43825d22d755}"/>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heme="majorBidi"/>
                  <w:sz w:val="28"/>
                  <w:szCs w:val="28"/>
                </w:rPr>
                <w:t>一、 部门职责</w:t>
              </w:r>
            </w:sdtContent>
          </w:sdt>
          <w:r>
            <w:rPr>
              <w:sz w:val="28"/>
              <w:szCs w:val="28"/>
            </w:rPr>
            <w:tab/>
          </w:r>
          <w:bookmarkStart w:id="14" w:name="_Toc388674381_WPSOffice_Level2Page"/>
          <w:r>
            <w:rPr>
              <w:sz w:val="28"/>
              <w:szCs w:val="28"/>
            </w:rPr>
            <w:t>3</w:t>
          </w:r>
          <w:bookmarkEnd w:id="14"/>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_Toc7824327_WPSOffice_Level2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49b2bdc5-4606-4750-ade8-ccab976b5edc}"/>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heme="majorBidi"/>
                  <w:sz w:val="28"/>
                  <w:szCs w:val="28"/>
                </w:rPr>
                <w:t>二、机构设置</w:t>
              </w:r>
            </w:sdtContent>
          </w:sdt>
          <w:r>
            <w:rPr>
              <w:sz w:val="28"/>
              <w:szCs w:val="28"/>
            </w:rPr>
            <w:tab/>
          </w:r>
          <w:bookmarkStart w:id="15" w:name="_Toc7824327_WPSOffice_Level2Page"/>
          <w:r>
            <w:rPr>
              <w:sz w:val="28"/>
              <w:szCs w:val="28"/>
            </w:rPr>
            <w:t>3</w:t>
          </w:r>
          <w:bookmarkEnd w:id="15"/>
          <w:r>
            <w:rPr>
              <w:sz w:val="28"/>
              <w:szCs w:val="28"/>
            </w:rPr>
            <w:fldChar w:fldCharType="end"/>
          </w:r>
        </w:p>
        <w:p>
          <w:pPr>
            <w:pStyle w:val="36"/>
            <w:tabs>
              <w:tab w:val="right" w:leader="dot" w:pos="8306"/>
            </w:tabs>
            <w:rPr>
              <w:sz w:val="28"/>
              <w:szCs w:val="28"/>
            </w:rPr>
          </w:pPr>
          <w:r>
            <w:rPr>
              <w:b/>
              <w:bCs/>
              <w:sz w:val="28"/>
              <w:szCs w:val="28"/>
            </w:rPr>
            <w:fldChar w:fldCharType="begin"/>
          </w:r>
          <w:r>
            <w:rPr>
              <w:sz w:val="28"/>
              <w:szCs w:val="28"/>
            </w:rPr>
            <w:instrText xml:space="preserve"> HYPERLINK \l _Toc388674381_WPSOffice_Level1 </w:instrText>
          </w:r>
          <w:r>
            <w:rPr>
              <w:b/>
              <w:bCs/>
              <w:sz w:val="28"/>
              <w:szCs w:val="28"/>
            </w:rPr>
            <w:fldChar w:fldCharType="separate"/>
          </w:r>
          <w:sdt>
            <w:sdtPr>
              <w:rPr>
                <w:rFonts w:ascii="仿宋_GB2312" w:hAnsi="Times New Roman" w:eastAsia="仿宋_GB2312" w:cs="Times New Roman"/>
                <w:b/>
                <w:bCs/>
                <w:kern w:val="0"/>
                <w:sz w:val="28"/>
                <w:szCs w:val="28"/>
                <w:lang w:val="en-US" w:eastAsia="zh-CN" w:bidi="ar-SA"/>
              </w:rPr>
              <w:id w:val="667960391"/>
              <w:placeholder>
                <w:docPart w:val="{0c379b08-1297-41fe-af75-8b2bb1632111}"/>
              </w:placeholder>
            </w:sdtPr>
            <w:sdtEndPr>
              <w:rPr>
                <w:rFonts w:ascii="仿宋_GB2312" w:hAnsi="Times New Roman" w:eastAsia="仿宋_GB2312" w:cs="Times New Roman"/>
                <w:b/>
                <w:bCs/>
                <w:kern w:val="0"/>
                <w:sz w:val="28"/>
                <w:szCs w:val="28"/>
                <w:lang w:val="en-US" w:eastAsia="zh-CN" w:bidi="ar-SA"/>
              </w:rPr>
            </w:sdtEndPr>
            <w:sdtContent>
              <w:r>
                <w:rPr>
                  <w:rFonts w:hint="eastAsia" w:ascii="Times New Roman" w:hAnsi="Times New Roman" w:eastAsia="方正小标宋简体" w:cs="方正小标宋简体"/>
                  <w:b/>
                  <w:bCs/>
                  <w:sz w:val="28"/>
                  <w:szCs w:val="28"/>
                </w:rPr>
                <w:t>第二部分  2025年度部门决算情况说明</w:t>
              </w:r>
            </w:sdtContent>
          </w:sdt>
          <w:r>
            <w:rPr>
              <w:b/>
              <w:bCs/>
              <w:sz w:val="28"/>
              <w:szCs w:val="28"/>
            </w:rPr>
            <w:tab/>
          </w:r>
          <w:bookmarkStart w:id="16" w:name="_Toc388674381_WPSOffice_Level1Page"/>
          <w:r>
            <w:rPr>
              <w:b/>
              <w:bCs/>
              <w:sz w:val="28"/>
              <w:szCs w:val="28"/>
            </w:rPr>
            <w:t>4</w:t>
          </w:r>
          <w:bookmarkEnd w:id="16"/>
          <w:r>
            <w:rPr>
              <w:b/>
              <w:bCs/>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_Toc645985918_WPSOffice_Level2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0be15f9b-8c9d-4e18-bbb1-67e4e2463e15}"/>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一、收</w:t>
              </w:r>
              <w:r>
                <w:rPr>
                  <w:rFonts w:hint="eastAsia" w:ascii="Times New Roman" w:hAnsi="Times New Roman" w:eastAsia="黑体" w:cstheme="majorBidi"/>
                  <w:sz w:val="28"/>
                  <w:szCs w:val="28"/>
                </w:rPr>
                <w:t>入支出决算总体情况说明</w:t>
              </w:r>
            </w:sdtContent>
          </w:sdt>
          <w:r>
            <w:rPr>
              <w:sz w:val="28"/>
              <w:szCs w:val="28"/>
            </w:rPr>
            <w:tab/>
          </w:r>
          <w:bookmarkStart w:id="17" w:name="_Toc645985918_WPSOffice_Level2Page"/>
          <w:r>
            <w:rPr>
              <w:sz w:val="28"/>
              <w:szCs w:val="28"/>
            </w:rPr>
            <w:t>4</w:t>
          </w:r>
          <w:bookmarkEnd w:id="17"/>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_Toc1263255641_WPSOffice_Level2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34d4117d-f54d-4b80-bdc8-04bd465d688e}"/>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二、收入决算情况说明</w:t>
              </w:r>
            </w:sdtContent>
          </w:sdt>
          <w:r>
            <w:rPr>
              <w:sz w:val="28"/>
              <w:szCs w:val="28"/>
            </w:rPr>
            <w:tab/>
          </w:r>
          <w:bookmarkStart w:id="18" w:name="_Toc1263255641_WPSOffice_Level2Page"/>
          <w:r>
            <w:rPr>
              <w:sz w:val="28"/>
              <w:szCs w:val="28"/>
            </w:rPr>
            <w:t>4</w:t>
          </w:r>
          <w:bookmarkEnd w:id="18"/>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_Toc1394861929_WPSOffice_Level2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8f235b27-8c4f-42f5-b402-bc98e3681604}"/>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三、支</w:t>
              </w:r>
              <w:r>
                <w:rPr>
                  <w:rFonts w:hint="eastAsia" w:ascii="Times New Roman" w:hAnsi="Times New Roman" w:eastAsia="黑体" w:cstheme="majorBidi"/>
                  <w:sz w:val="28"/>
                  <w:szCs w:val="28"/>
                </w:rPr>
                <w:t>出决算情况说明</w:t>
              </w:r>
            </w:sdtContent>
          </w:sdt>
          <w:r>
            <w:rPr>
              <w:sz w:val="28"/>
              <w:szCs w:val="28"/>
            </w:rPr>
            <w:tab/>
          </w:r>
          <w:bookmarkStart w:id="19" w:name="_Toc1394861929_WPSOffice_Level2Page"/>
          <w:r>
            <w:rPr>
              <w:sz w:val="28"/>
              <w:szCs w:val="28"/>
            </w:rPr>
            <w:t>5</w:t>
          </w:r>
          <w:bookmarkEnd w:id="19"/>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_Toc79324693_WPSOffice_Level2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f9e50ba4-a4e1-4e52-8c9c-ff9c4e4894aa}"/>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四、财</w:t>
              </w:r>
              <w:r>
                <w:rPr>
                  <w:rFonts w:hint="eastAsia" w:ascii="Times New Roman" w:hAnsi="Times New Roman" w:eastAsia="黑体" w:cstheme="majorBidi"/>
                  <w:sz w:val="28"/>
                  <w:szCs w:val="28"/>
                </w:rPr>
                <w:t>政拨款收入支出决算总体情况说明</w:t>
              </w:r>
            </w:sdtContent>
          </w:sdt>
          <w:r>
            <w:rPr>
              <w:sz w:val="28"/>
              <w:szCs w:val="28"/>
            </w:rPr>
            <w:tab/>
          </w:r>
          <w:bookmarkStart w:id="20" w:name="_Toc79324693_WPSOffice_Level2Page"/>
          <w:r>
            <w:rPr>
              <w:sz w:val="28"/>
              <w:szCs w:val="28"/>
            </w:rPr>
            <w:t>6</w:t>
          </w:r>
          <w:bookmarkEnd w:id="20"/>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_Toc511925210_WPSOffice_Level2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05fbe00a-0e0a-4cfe-b0ff-1c51f3b2b5a6}"/>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五、一</w:t>
              </w:r>
              <w:r>
                <w:rPr>
                  <w:rFonts w:hint="eastAsia" w:ascii="Times New Roman" w:hAnsi="Times New Roman" w:eastAsia="黑体" w:cstheme="majorBidi"/>
                  <w:sz w:val="28"/>
                  <w:szCs w:val="28"/>
                </w:rPr>
                <w:t>般公共预算财政拨款支出决算情况说明</w:t>
              </w:r>
            </w:sdtContent>
          </w:sdt>
          <w:r>
            <w:rPr>
              <w:sz w:val="28"/>
              <w:szCs w:val="28"/>
            </w:rPr>
            <w:tab/>
          </w:r>
          <w:bookmarkStart w:id="21" w:name="_Toc511925210_WPSOffice_Level2Page"/>
          <w:r>
            <w:rPr>
              <w:sz w:val="28"/>
              <w:szCs w:val="28"/>
            </w:rPr>
            <w:t>6</w:t>
          </w:r>
          <w:bookmarkEnd w:id="21"/>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_Toc1016083527_WPSOffice_Level2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c443ffe7-1f96-4bf8-b1ca-052870094837}"/>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六、一</w:t>
              </w:r>
              <w:r>
                <w:rPr>
                  <w:rFonts w:hint="eastAsia" w:ascii="Times New Roman" w:hAnsi="Times New Roman" w:eastAsia="黑体" w:cstheme="majorBidi"/>
                  <w:sz w:val="28"/>
                  <w:szCs w:val="28"/>
                </w:rPr>
                <w:t>般公共预算财政拨款基本支出决算情况说明</w:t>
              </w:r>
            </w:sdtContent>
          </w:sdt>
          <w:r>
            <w:rPr>
              <w:sz w:val="28"/>
              <w:szCs w:val="28"/>
            </w:rPr>
            <w:tab/>
          </w:r>
          <w:bookmarkStart w:id="22" w:name="_Toc1016083527_WPSOffice_Level2Page"/>
          <w:r>
            <w:rPr>
              <w:sz w:val="28"/>
              <w:szCs w:val="28"/>
            </w:rPr>
            <w:t>10</w:t>
          </w:r>
          <w:bookmarkEnd w:id="22"/>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_Toc1284433252_WPSOffice_Level2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5de6da35-c15e-42ee-ad56-1dd2c6d579b8}"/>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七、</w:t>
              </w:r>
              <w:r>
                <w:rPr>
                  <w:rFonts w:hint="eastAsia" w:ascii="Times New Roman" w:hAnsi="Times New Roman" w:eastAsia="黑体" w:cstheme="majorBidi"/>
                  <w:sz w:val="28"/>
                  <w:szCs w:val="28"/>
                </w:rPr>
                <w:t>财政拨款“三公”经费支出决算情况说明</w:t>
              </w:r>
            </w:sdtContent>
          </w:sdt>
          <w:r>
            <w:rPr>
              <w:sz w:val="28"/>
              <w:szCs w:val="28"/>
            </w:rPr>
            <w:tab/>
          </w:r>
          <w:bookmarkStart w:id="23" w:name="_Toc1284433252_WPSOffice_Level2Page"/>
          <w:r>
            <w:rPr>
              <w:sz w:val="28"/>
              <w:szCs w:val="28"/>
            </w:rPr>
            <w:t>10</w:t>
          </w:r>
          <w:bookmarkEnd w:id="23"/>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_Toc264136925_WPSOffice_Level2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f2ab313b-424f-4e2c-86fa-c2e957b3f324}"/>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imes New Roman"/>
                  <w:sz w:val="28"/>
                  <w:szCs w:val="28"/>
                </w:rPr>
                <w:t>八、</w:t>
              </w:r>
              <w:r>
                <w:rPr>
                  <w:rFonts w:hint="eastAsia" w:ascii="Times New Roman" w:hAnsi="Times New Roman" w:eastAsia="黑体" w:cstheme="majorBidi"/>
                  <w:sz w:val="28"/>
                  <w:szCs w:val="28"/>
                </w:rPr>
                <w:t>政府性基金预算支出决算情况说明</w:t>
              </w:r>
            </w:sdtContent>
          </w:sdt>
          <w:r>
            <w:rPr>
              <w:sz w:val="28"/>
              <w:szCs w:val="28"/>
            </w:rPr>
            <w:tab/>
          </w:r>
          <w:bookmarkStart w:id="24" w:name="_Toc264136925_WPSOffice_Level2Page"/>
          <w:r>
            <w:rPr>
              <w:sz w:val="28"/>
              <w:szCs w:val="28"/>
            </w:rPr>
            <w:t>12</w:t>
          </w:r>
          <w:bookmarkEnd w:id="24"/>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_Toc103654065_WPSOffice_Level2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4537b410-0324-40c1-95d1-b83a8dac5555}"/>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heme="majorBidi"/>
                  <w:sz w:val="28"/>
                  <w:szCs w:val="28"/>
                </w:rPr>
                <w:t>九、国有资本经营预算支出决算情况说明</w:t>
              </w:r>
            </w:sdtContent>
          </w:sdt>
          <w:r>
            <w:rPr>
              <w:sz w:val="28"/>
              <w:szCs w:val="28"/>
            </w:rPr>
            <w:tab/>
          </w:r>
          <w:bookmarkStart w:id="25" w:name="_Toc103654065_WPSOffice_Level2Page"/>
          <w:r>
            <w:rPr>
              <w:sz w:val="28"/>
              <w:szCs w:val="28"/>
            </w:rPr>
            <w:t>13</w:t>
          </w:r>
          <w:bookmarkEnd w:id="25"/>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_Toc1282556760_WPSOffice_Level2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ee915970-eecc-4e9c-80de-ac022ed9e6b7}"/>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黑体" w:cstheme="majorBidi"/>
                  <w:sz w:val="28"/>
                  <w:szCs w:val="28"/>
                </w:rPr>
                <w:t>十、其他重要事项的情况说明</w:t>
              </w:r>
            </w:sdtContent>
          </w:sdt>
          <w:r>
            <w:rPr>
              <w:sz w:val="28"/>
              <w:szCs w:val="28"/>
            </w:rPr>
            <w:tab/>
          </w:r>
          <w:bookmarkStart w:id="26" w:name="_Toc1282556760_WPSOffice_Level2Page"/>
          <w:r>
            <w:rPr>
              <w:sz w:val="28"/>
              <w:szCs w:val="28"/>
            </w:rPr>
            <w:t>13</w:t>
          </w:r>
          <w:bookmarkEnd w:id="26"/>
          <w:r>
            <w:rPr>
              <w:sz w:val="28"/>
              <w:szCs w:val="28"/>
            </w:rPr>
            <w:fldChar w:fldCharType="end"/>
          </w:r>
        </w:p>
        <w:p>
          <w:pPr>
            <w:pStyle w:val="36"/>
            <w:tabs>
              <w:tab w:val="right" w:leader="dot" w:pos="8306"/>
            </w:tabs>
            <w:rPr>
              <w:sz w:val="28"/>
              <w:szCs w:val="28"/>
            </w:rPr>
          </w:pPr>
          <w:r>
            <w:rPr>
              <w:b/>
              <w:bCs/>
              <w:sz w:val="28"/>
              <w:szCs w:val="28"/>
            </w:rPr>
            <w:fldChar w:fldCharType="begin"/>
          </w:r>
          <w:r>
            <w:rPr>
              <w:sz w:val="28"/>
              <w:szCs w:val="28"/>
            </w:rPr>
            <w:instrText xml:space="preserve"> HYPERLINK \l _Toc7824327_WPSOffice_Level1 </w:instrText>
          </w:r>
          <w:r>
            <w:rPr>
              <w:b/>
              <w:bCs/>
              <w:sz w:val="28"/>
              <w:szCs w:val="28"/>
            </w:rPr>
            <w:fldChar w:fldCharType="separate"/>
          </w:r>
          <w:sdt>
            <w:sdtPr>
              <w:rPr>
                <w:rFonts w:ascii="仿宋_GB2312" w:hAnsi="Times New Roman" w:eastAsia="仿宋_GB2312" w:cs="Times New Roman"/>
                <w:b/>
                <w:bCs/>
                <w:kern w:val="0"/>
                <w:sz w:val="28"/>
                <w:szCs w:val="28"/>
                <w:lang w:val="en-US" w:eastAsia="zh-CN" w:bidi="ar-SA"/>
              </w:rPr>
              <w:id w:val="667960391"/>
              <w:placeholder>
                <w:docPart w:val="{1afebb40-c8a5-4b28-956b-511827cadae3}"/>
              </w:placeholder>
            </w:sdtPr>
            <w:sdtEndPr>
              <w:rPr>
                <w:rFonts w:ascii="仿宋_GB2312" w:hAnsi="Times New Roman" w:eastAsia="仿宋_GB2312" w:cs="Times New Roman"/>
                <w:b/>
                <w:bCs/>
                <w:kern w:val="0"/>
                <w:sz w:val="28"/>
                <w:szCs w:val="28"/>
                <w:lang w:val="en-US" w:eastAsia="zh-CN" w:bidi="ar-SA"/>
              </w:rPr>
            </w:sdtEndPr>
            <w:sdtContent>
              <w:r>
                <w:rPr>
                  <w:rFonts w:hint="eastAsia" w:ascii="Times New Roman" w:hAnsi="Times New Roman" w:eastAsia="黑体" w:cs="Times New Roman"/>
                  <w:b/>
                  <w:bCs/>
                  <w:sz w:val="28"/>
                  <w:szCs w:val="28"/>
                </w:rPr>
                <w:t>第三部分  名词解释</w:t>
              </w:r>
            </w:sdtContent>
          </w:sdt>
          <w:r>
            <w:rPr>
              <w:b/>
              <w:bCs/>
              <w:sz w:val="28"/>
              <w:szCs w:val="28"/>
            </w:rPr>
            <w:tab/>
          </w:r>
          <w:bookmarkStart w:id="27" w:name="_Toc7824327_WPSOffice_Level1Page"/>
          <w:r>
            <w:rPr>
              <w:b/>
              <w:bCs/>
              <w:sz w:val="28"/>
              <w:szCs w:val="28"/>
            </w:rPr>
            <w:t>14</w:t>
          </w:r>
          <w:bookmarkEnd w:id="27"/>
          <w:r>
            <w:rPr>
              <w:b/>
              <w:bCs/>
              <w:sz w:val="28"/>
              <w:szCs w:val="28"/>
            </w:rPr>
            <w:fldChar w:fldCharType="end"/>
          </w:r>
        </w:p>
        <w:p>
          <w:pPr>
            <w:pStyle w:val="36"/>
            <w:tabs>
              <w:tab w:val="right" w:leader="dot" w:pos="8306"/>
            </w:tabs>
            <w:rPr>
              <w:sz w:val="28"/>
              <w:szCs w:val="28"/>
            </w:rPr>
          </w:pPr>
          <w:r>
            <w:rPr>
              <w:b/>
              <w:bCs/>
              <w:sz w:val="28"/>
              <w:szCs w:val="28"/>
            </w:rPr>
            <w:fldChar w:fldCharType="begin"/>
          </w:r>
          <w:r>
            <w:rPr>
              <w:sz w:val="28"/>
              <w:szCs w:val="28"/>
            </w:rPr>
            <w:instrText xml:space="preserve"> HYPERLINK \l _Toc645985918_WPSOffice_Level1 </w:instrText>
          </w:r>
          <w:r>
            <w:rPr>
              <w:b/>
              <w:bCs/>
              <w:sz w:val="28"/>
              <w:szCs w:val="28"/>
            </w:rPr>
            <w:fldChar w:fldCharType="separate"/>
          </w:r>
          <w:sdt>
            <w:sdtPr>
              <w:rPr>
                <w:rFonts w:ascii="仿宋_GB2312" w:hAnsi="Times New Roman" w:eastAsia="仿宋_GB2312" w:cs="Times New Roman"/>
                <w:b/>
                <w:bCs/>
                <w:kern w:val="0"/>
                <w:sz w:val="28"/>
                <w:szCs w:val="28"/>
                <w:lang w:val="en-US" w:eastAsia="zh-CN" w:bidi="ar-SA"/>
              </w:rPr>
              <w:id w:val="667960391"/>
              <w:placeholder>
                <w:docPart w:val="{f918b83c-ee8a-4e37-9cf4-7e1f3536bbc5}"/>
              </w:placeholder>
            </w:sdtPr>
            <w:sdtEndPr>
              <w:rPr>
                <w:rFonts w:ascii="仿宋_GB2312" w:hAnsi="Times New Roman" w:eastAsia="仿宋_GB2312" w:cs="Times New Roman"/>
                <w:b/>
                <w:bCs/>
                <w:kern w:val="0"/>
                <w:sz w:val="28"/>
                <w:szCs w:val="28"/>
                <w:lang w:val="en-US" w:eastAsia="zh-CN" w:bidi="ar-SA"/>
              </w:rPr>
            </w:sdtEndPr>
            <w:sdtContent>
              <w:r>
                <w:rPr>
                  <w:rFonts w:hint="eastAsia" w:ascii="Times New Roman" w:hAnsi="Times New Roman" w:eastAsia="黑体" w:cs="Times New Roman"/>
                  <w:b/>
                  <w:bCs/>
                  <w:sz w:val="28"/>
                  <w:szCs w:val="28"/>
                </w:rPr>
                <w:t>第四部分  附件</w:t>
              </w:r>
            </w:sdtContent>
          </w:sdt>
          <w:r>
            <w:rPr>
              <w:b/>
              <w:bCs/>
              <w:sz w:val="28"/>
              <w:szCs w:val="28"/>
            </w:rPr>
            <w:tab/>
          </w:r>
          <w:bookmarkStart w:id="28" w:name="_Toc645985918_WPSOffice_Level1Page"/>
          <w:r>
            <w:rPr>
              <w:b/>
              <w:bCs/>
              <w:sz w:val="28"/>
              <w:szCs w:val="28"/>
            </w:rPr>
            <w:t>18</w:t>
          </w:r>
          <w:bookmarkEnd w:id="28"/>
          <w:r>
            <w:rPr>
              <w:b/>
              <w:bCs/>
              <w:sz w:val="28"/>
              <w:szCs w:val="28"/>
            </w:rPr>
            <w:fldChar w:fldCharType="end"/>
          </w:r>
        </w:p>
        <w:p>
          <w:pPr>
            <w:pStyle w:val="36"/>
            <w:tabs>
              <w:tab w:val="right" w:leader="dot" w:pos="8306"/>
            </w:tabs>
            <w:rPr>
              <w:sz w:val="28"/>
              <w:szCs w:val="28"/>
            </w:rPr>
          </w:pPr>
          <w:r>
            <w:rPr>
              <w:b/>
              <w:bCs/>
              <w:sz w:val="28"/>
              <w:szCs w:val="28"/>
            </w:rPr>
            <w:fldChar w:fldCharType="begin"/>
          </w:r>
          <w:r>
            <w:rPr>
              <w:sz w:val="28"/>
              <w:szCs w:val="28"/>
            </w:rPr>
            <w:instrText xml:space="preserve"> HYPERLINK \l _Toc1263255641_WPSOffice_Level1 </w:instrText>
          </w:r>
          <w:r>
            <w:rPr>
              <w:b/>
              <w:bCs/>
              <w:sz w:val="28"/>
              <w:szCs w:val="28"/>
            </w:rPr>
            <w:fldChar w:fldCharType="separate"/>
          </w:r>
          <w:sdt>
            <w:sdtPr>
              <w:rPr>
                <w:rFonts w:ascii="仿宋_GB2312" w:hAnsi="Times New Roman" w:eastAsia="仿宋_GB2312" w:cs="Times New Roman"/>
                <w:b/>
                <w:bCs/>
                <w:kern w:val="0"/>
                <w:sz w:val="28"/>
                <w:szCs w:val="28"/>
                <w:lang w:val="en-US" w:eastAsia="zh-CN" w:bidi="ar-SA"/>
              </w:rPr>
              <w:id w:val="667960391"/>
              <w:placeholder>
                <w:docPart w:val="{1a15cc11-7209-4043-a067-039d4a14496c}"/>
              </w:placeholder>
            </w:sdtPr>
            <w:sdtEndPr>
              <w:rPr>
                <w:rFonts w:ascii="仿宋_GB2312" w:hAnsi="Times New Roman" w:eastAsia="仿宋_GB2312" w:cs="Times New Roman"/>
                <w:b/>
                <w:bCs/>
                <w:kern w:val="0"/>
                <w:sz w:val="28"/>
                <w:szCs w:val="28"/>
                <w:lang w:val="en-US" w:eastAsia="zh-CN" w:bidi="ar-SA"/>
              </w:rPr>
            </w:sdtEndPr>
            <w:sdtContent>
              <w:r>
                <w:rPr>
                  <w:rFonts w:hint="eastAsia" w:ascii="Times New Roman" w:hAnsi="Times New Roman" w:eastAsia="黑体" w:cs="Times New Roman"/>
                  <w:b/>
                  <w:bCs/>
                  <w:sz w:val="28"/>
                  <w:szCs w:val="28"/>
                </w:rPr>
                <w:t>第五部分 附表</w:t>
              </w:r>
            </w:sdtContent>
          </w:sdt>
          <w:r>
            <w:rPr>
              <w:b/>
              <w:bCs/>
              <w:sz w:val="28"/>
              <w:szCs w:val="28"/>
            </w:rPr>
            <w:tab/>
          </w:r>
          <w:bookmarkStart w:id="29" w:name="_Toc1263255641_WPSOffice_Level1Page"/>
          <w:r>
            <w:rPr>
              <w:b/>
              <w:bCs/>
              <w:sz w:val="28"/>
              <w:szCs w:val="28"/>
            </w:rPr>
            <w:t>18</w:t>
          </w:r>
          <w:bookmarkEnd w:id="29"/>
          <w:r>
            <w:rPr>
              <w:b/>
              <w:bCs/>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_Toc668753705_WPSOffice_Level2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11d06177-d7b9-45b7-be8f-ac7f7601ef4d}"/>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一、收入支出决算总表</w:t>
              </w:r>
            </w:sdtContent>
          </w:sdt>
          <w:r>
            <w:rPr>
              <w:sz w:val="28"/>
              <w:szCs w:val="28"/>
            </w:rPr>
            <w:tab/>
          </w:r>
          <w:bookmarkStart w:id="30" w:name="_Toc668753705_WPSOffice_Level2Page"/>
          <w:r>
            <w:rPr>
              <w:sz w:val="28"/>
              <w:szCs w:val="28"/>
            </w:rPr>
            <w:t>18</w:t>
          </w:r>
          <w:bookmarkEnd w:id="30"/>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_Toc405325372_WPSOffice_Level2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f22bb274-ca10-42c0-8585-bcdacd6ba123}"/>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二、收入决算表</w:t>
              </w:r>
            </w:sdtContent>
          </w:sdt>
          <w:r>
            <w:rPr>
              <w:sz w:val="28"/>
              <w:szCs w:val="28"/>
            </w:rPr>
            <w:tab/>
          </w:r>
          <w:bookmarkStart w:id="31" w:name="_Toc405325372_WPSOffice_Level2Page"/>
          <w:r>
            <w:rPr>
              <w:sz w:val="28"/>
              <w:szCs w:val="28"/>
            </w:rPr>
            <w:t>18</w:t>
          </w:r>
          <w:bookmarkEnd w:id="31"/>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_Toc1349842061_WPSOffice_Level2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c67f9fd2-0ae7-4351-86ab-1e83f3218d1c}"/>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三、支出决算表</w:t>
              </w:r>
            </w:sdtContent>
          </w:sdt>
          <w:r>
            <w:rPr>
              <w:sz w:val="28"/>
              <w:szCs w:val="28"/>
            </w:rPr>
            <w:tab/>
          </w:r>
          <w:bookmarkStart w:id="32" w:name="_Toc1349842061_WPSOffice_Level2Page"/>
          <w:r>
            <w:rPr>
              <w:sz w:val="28"/>
              <w:szCs w:val="28"/>
            </w:rPr>
            <w:t>18</w:t>
          </w:r>
          <w:bookmarkEnd w:id="32"/>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_Toc1646126577_WPSOffice_Level2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2153d7a4-3ce6-4b4a-94f2-d4f608171d34}"/>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四、财政拨款收入支出决算总表</w:t>
              </w:r>
            </w:sdtContent>
          </w:sdt>
          <w:r>
            <w:rPr>
              <w:sz w:val="28"/>
              <w:szCs w:val="28"/>
            </w:rPr>
            <w:tab/>
          </w:r>
          <w:bookmarkStart w:id="33" w:name="_Toc1646126577_WPSOffice_Level2Page"/>
          <w:r>
            <w:rPr>
              <w:sz w:val="28"/>
              <w:szCs w:val="28"/>
            </w:rPr>
            <w:t>18</w:t>
          </w:r>
          <w:bookmarkEnd w:id="33"/>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_Toc1812244405_WPSOffice_Level2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c0cb1345-b0c1-4f34-9802-6f80dc5fc8d7}"/>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五、财政拨款支出决算明细表</w:t>
              </w:r>
            </w:sdtContent>
          </w:sdt>
          <w:r>
            <w:rPr>
              <w:sz w:val="28"/>
              <w:szCs w:val="28"/>
            </w:rPr>
            <w:tab/>
          </w:r>
          <w:bookmarkStart w:id="34" w:name="_Toc1812244405_WPSOffice_Level2Page"/>
          <w:r>
            <w:rPr>
              <w:sz w:val="28"/>
              <w:szCs w:val="28"/>
            </w:rPr>
            <w:t>18</w:t>
          </w:r>
          <w:bookmarkEnd w:id="34"/>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_Toc2001277772_WPSOffice_Level2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17adf603-13e5-4a6d-8fc6-f15301e28942}"/>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六、一般公共预算财政拨款支出决算表</w:t>
              </w:r>
            </w:sdtContent>
          </w:sdt>
          <w:r>
            <w:rPr>
              <w:sz w:val="28"/>
              <w:szCs w:val="28"/>
            </w:rPr>
            <w:tab/>
          </w:r>
          <w:bookmarkStart w:id="35" w:name="_Toc2001277772_WPSOffice_Level2Page"/>
          <w:r>
            <w:rPr>
              <w:sz w:val="28"/>
              <w:szCs w:val="28"/>
            </w:rPr>
            <w:t>18</w:t>
          </w:r>
          <w:bookmarkEnd w:id="35"/>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_Toc1701285004_WPSOffice_Level2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63199c7b-18fd-49ab-8787-2abf13c3650d}"/>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七、一般公共预算财政拨款支出决算明细表</w:t>
              </w:r>
            </w:sdtContent>
          </w:sdt>
          <w:r>
            <w:rPr>
              <w:sz w:val="28"/>
              <w:szCs w:val="28"/>
            </w:rPr>
            <w:tab/>
          </w:r>
          <w:bookmarkStart w:id="36" w:name="_Toc1701285004_WPSOffice_Level2Page"/>
          <w:r>
            <w:rPr>
              <w:sz w:val="28"/>
              <w:szCs w:val="28"/>
            </w:rPr>
            <w:t>18</w:t>
          </w:r>
          <w:bookmarkEnd w:id="36"/>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_Toc94594078_WPSOffice_Level2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ac606782-971a-422c-aa20-288860f45493}"/>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八、一般公共预算财政拨款基本支出决算表</w:t>
              </w:r>
            </w:sdtContent>
          </w:sdt>
          <w:r>
            <w:rPr>
              <w:sz w:val="28"/>
              <w:szCs w:val="28"/>
            </w:rPr>
            <w:tab/>
          </w:r>
          <w:bookmarkStart w:id="37" w:name="_Toc94594078_WPSOffice_Level2Page"/>
          <w:r>
            <w:rPr>
              <w:sz w:val="28"/>
              <w:szCs w:val="28"/>
            </w:rPr>
            <w:t>18</w:t>
          </w:r>
          <w:bookmarkEnd w:id="37"/>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_Toc1041498700_WPSOffice_Level2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e940991a-7b37-4a47-88b2-49e31b750b8f}"/>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九、一般公共预算财政拨款项目支出决算表</w:t>
              </w:r>
            </w:sdtContent>
          </w:sdt>
          <w:r>
            <w:rPr>
              <w:sz w:val="28"/>
              <w:szCs w:val="28"/>
            </w:rPr>
            <w:tab/>
          </w:r>
          <w:bookmarkStart w:id="38" w:name="_Toc1041498700_WPSOffice_Level2Page"/>
          <w:r>
            <w:rPr>
              <w:sz w:val="28"/>
              <w:szCs w:val="28"/>
            </w:rPr>
            <w:t>18</w:t>
          </w:r>
          <w:bookmarkEnd w:id="38"/>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_Toc191804618_WPSOffice_Level2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500723c7-7c77-4dd2-ba83-fa80e52ea16b}"/>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十、政府性基金预算财政拨款收入支出决算表</w:t>
              </w:r>
            </w:sdtContent>
          </w:sdt>
          <w:r>
            <w:rPr>
              <w:sz w:val="28"/>
              <w:szCs w:val="28"/>
            </w:rPr>
            <w:tab/>
          </w:r>
          <w:bookmarkStart w:id="39" w:name="_Toc191804618_WPSOffice_Level2Page"/>
          <w:r>
            <w:rPr>
              <w:sz w:val="28"/>
              <w:szCs w:val="28"/>
            </w:rPr>
            <w:t>18</w:t>
          </w:r>
          <w:bookmarkEnd w:id="39"/>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_Toc2092630238_WPSOffice_Level2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0d72edc7-6e2c-456b-aaca-7761456a8ddc}"/>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十一、国有资本经营预算财政拨款收入支出决算表</w:t>
              </w:r>
            </w:sdtContent>
          </w:sdt>
          <w:r>
            <w:rPr>
              <w:sz w:val="28"/>
              <w:szCs w:val="28"/>
            </w:rPr>
            <w:tab/>
          </w:r>
          <w:bookmarkStart w:id="40" w:name="_Toc2092630238_WPSOffice_Level2Page"/>
          <w:r>
            <w:rPr>
              <w:sz w:val="28"/>
              <w:szCs w:val="28"/>
            </w:rPr>
            <w:t>18</w:t>
          </w:r>
          <w:bookmarkEnd w:id="40"/>
          <w:r>
            <w:rPr>
              <w:sz w:val="28"/>
              <w:szCs w:val="28"/>
            </w:rPr>
            <w:fldChar w:fldCharType="end"/>
          </w:r>
        </w:p>
        <w:p>
          <w:pPr>
            <w:pStyle w:val="37"/>
            <w:tabs>
              <w:tab w:val="right" w:leader="dot" w:pos="8306"/>
            </w:tabs>
            <w:rPr>
              <w:sz w:val="28"/>
              <w:szCs w:val="28"/>
            </w:rPr>
          </w:pPr>
          <w:r>
            <w:rPr>
              <w:sz w:val="28"/>
              <w:szCs w:val="28"/>
            </w:rPr>
            <w:fldChar w:fldCharType="begin"/>
          </w:r>
          <w:r>
            <w:rPr>
              <w:sz w:val="28"/>
              <w:szCs w:val="28"/>
            </w:rPr>
            <w:instrText xml:space="preserve"> HYPERLINK \l _Toc878795951_WPSOffice_Level2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c3ca461a-bf25-4906-ba93-9bbd8c79c764}"/>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十二、国有资本经营预算财政拨款支出决算表</w:t>
              </w:r>
            </w:sdtContent>
          </w:sdt>
          <w:r>
            <w:rPr>
              <w:sz w:val="28"/>
              <w:szCs w:val="28"/>
            </w:rPr>
            <w:tab/>
          </w:r>
          <w:bookmarkStart w:id="41" w:name="_Toc878795951_WPSOffice_Level2Page"/>
          <w:r>
            <w:rPr>
              <w:sz w:val="28"/>
              <w:szCs w:val="28"/>
            </w:rPr>
            <w:t>18</w:t>
          </w:r>
          <w:bookmarkEnd w:id="41"/>
          <w:r>
            <w:rPr>
              <w:sz w:val="28"/>
              <w:szCs w:val="28"/>
            </w:rPr>
            <w:fldChar w:fldCharType="end"/>
          </w:r>
        </w:p>
        <w:p>
          <w:pPr>
            <w:pStyle w:val="37"/>
            <w:tabs>
              <w:tab w:val="right" w:leader="dot" w:pos="8306"/>
            </w:tabs>
          </w:pPr>
          <w:r>
            <w:rPr>
              <w:sz w:val="28"/>
              <w:szCs w:val="28"/>
            </w:rPr>
            <w:fldChar w:fldCharType="begin"/>
          </w:r>
          <w:r>
            <w:rPr>
              <w:sz w:val="28"/>
              <w:szCs w:val="28"/>
            </w:rPr>
            <w:instrText xml:space="preserve"> HYPERLINK \l _Toc1911154920_WPSOffice_Level2 </w:instrText>
          </w:r>
          <w:r>
            <w:rPr>
              <w:sz w:val="28"/>
              <w:szCs w:val="28"/>
            </w:rPr>
            <w:fldChar w:fldCharType="separate"/>
          </w:r>
          <w:sdt>
            <w:sdtPr>
              <w:rPr>
                <w:rFonts w:ascii="仿宋_GB2312" w:hAnsi="Times New Roman" w:eastAsia="仿宋_GB2312" w:cs="Times New Roman"/>
                <w:kern w:val="0"/>
                <w:sz w:val="28"/>
                <w:szCs w:val="28"/>
                <w:lang w:val="en-US" w:eastAsia="zh-CN" w:bidi="ar-SA"/>
              </w:rPr>
              <w:id w:val="667960391"/>
              <w:placeholder>
                <w:docPart w:val="{18e34bc4-48b4-4efc-9399-c994717d68c5}"/>
              </w:placeholder>
            </w:sdtPr>
            <w:sdtEndPr>
              <w:rPr>
                <w:rFonts w:ascii="仿宋_GB2312" w:hAnsi="Times New Roman" w:eastAsia="仿宋_GB2312" w:cs="Times New Roman"/>
                <w:kern w:val="0"/>
                <w:sz w:val="28"/>
                <w:szCs w:val="28"/>
                <w:lang w:val="en-US" w:eastAsia="zh-CN" w:bidi="ar-SA"/>
              </w:rPr>
            </w:sdtEndPr>
            <w:sdtContent>
              <w:r>
                <w:rPr>
                  <w:rFonts w:hint="eastAsia" w:ascii="Times New Roman" w:hAnsi="Times New Roman" w:eastAsia="仿宋_GB2312" w:cs="仿宋_GB2312"/>
                  <w:sz w:val="28"/>
                  <w:szCs w:val="28"/>
                </w:rPr>
                <w:t>十三、财政拨款“三公”经费支出决算表</w:t>
              </w:r>
            </w:sdtContent>
          </w:sdt>
          <w:r>
            <w:rPr>
              <w:sz w:val="28"/>
              <w:szCs w:val="28"/>
            </w:rPr>
            <w:tab/>
          </w:r>
          <w:bookmarkStart w:id="42" w:name="_Toc1911154920_WPSOffice_Level2Page"/>
          <w:r>
            <w:rPr>
              <w:sz w:val="28"/>
              <w:szCs w:val="28"/>
            </w:rPr>
            <w:t>18</w:t>
          </w:r>
          <w:bookmarkEnd w:id="42"/>
          <w:r>
            <w:rPr>
              <w:sz w:val="28"/>
              <w:szCs w:val="28"/>
            </w:rPr>
            <w:fldChar w:fldCharType="end"/>
          </w:r>
          <w:bookmarkEnd w:id="12"/>
        </w:p>
      </w:sdtContent>
    </w:sdt>
    <w:p>
      <w:pPr>
        <w:pStyle w:val="2"/>
        <w:rPr>
          <w:rFonts w:hint="eastAsia" w:ascii="Times New Roman" w:hAnsi="Times New Roman" w:eastAsia="仿宋_GB2312" w:cs="仿宋_GB2312"/>
          <w:sz w:val="32"/>
          <w:szCs w:val="32"/>
        </w:rPr>
      </w:pPr>
    </w:p>
    <w:p>
      <w:pPr>
        <w:pStyle w:val="2"/>
        <w:rPr>
          <w:rFonts w:hint="eastAsia" w:ascii="Times New Roman" w:hAnsi="Times New Roman" w:eastAsia="仿宋_GB2312" w:cs="仿宋_GB2312"/>
          <w:sz w:val="32"/>
          <w:szCs w:val="32"/>
        </w:rPr>
      </w:pPr>
    </w:p>
    <w:p>
      <w:pPr>
        <w:pStyle w:val="2"/>
        <w:rPr>
          <w:rFonts w:hint="eastAsia" w:ascii="Times New Roman" w:hAnsi="Times New Roman" w:eastAsia="仿宋_GB2312" w:cs="仿宋_GB2312"/>
          <w:sz w:val="32"/>
          <w:szCs w:val="32"/>
        </w:rPr>
      </w:pPr>
    </w:p>
    <w:p>
      <w:pPr>
        <w:pStyle w:val="2"/>
        <w:rPr>
          <w:rFonts w:hint="eastAsia" w:ascii="Times New Roman" w:hAnsi="Times New Roman" w:eastAsia="仿宋_GB2312" w:cs="仿宋_GB2312"/>
          <w:sz w:val="32"/>
          <w:szCs w:val="32"/>
        </w:rPr>
      </w:pPr>
    </w:p>
    <w:p>
      <w:pPr>
        <w:pStyle w:val="2"/>
        <w:rPr>
          <w:rFonts w:hint="eastAsia" w:ascii="Times New Roman" w:hAnsi="Times New Roman" w:eastAsia="仿宋_GB2312" w:cs="仿宋_GB2312"/>
          <w:sz w:val="32"/>
          <w:szCs w:val="32"/>
        </w:rPr>
      </w:pPr>
    </w:p>
    <w:p>
      <w:pPr>
        <w:pStyle w:val="2"/>
        <w:rPr>
          <w:rFonts w:hint="eastAsia" w:ascii="Times New Roman" w:hAnsi="Times New Roman" w:eastAsia="仿宋_GB2312" w:cs="仿宋_GB2312"/>
          <w:sz w:val="32"/>
          <w:szCs w:val="32"/>
        </w:rPr>
      </w:pPr>
    </w:p>
    <w:p/>
    <w:p>
      <w:pPr>
        <w:pStyle w:val="3"/>
        <w:jc w:val="center"/>
        <w:rPr>
          <w:rStyle w:val="28"/>
          <w:rFonts w:eastAsia="方正小标宋简体" w:cs="方正小标宋简体"/>
          <w:b/>
          <w:bCs w:val="0"/>
        </w:rPr>
      </w:pPr>
      <w:bookmarkStart w:id="43" w:name="_Toc1636667978_WPSOffice_Level1"/>
      <w:bookmarkStart w:id="44" w:name="_Toc15377196"/>
      <w:bookmarkStart w:id="45" w:name="_Toc15396599"/>
      <w:r>
        <w:rPr>
          <w:rFonts w:hint="eastAsia" w:eastAsia="方正小标宋简体" w:cs="方正小标宋简体"/>
          <w:b w:val="0"/>
        </w:rPr>
        <w:t xml:space="preserve">第一部分  </w:t>
      </w:r>
      <w:r>
        <w:rPr>
          <w:rFonts w:hint="eastAsia" w:eastAsia="方正小标宋简体" w:cs="方正小标宋简体"/>
          <w:b w:val="0"/>
          <w:lang w:eastAsia="zh-CN"/>
        </w:rPr>
        <w:t>单位</w:t>
      </w:r>
      <w:r>
        <w:rPr>
          <w:rStyle w:val="28"/>
          <w:rFonts w:hint="eastAsia" w:eastAsia="方正小标宋简体" w:cs="方正小标宋简体"/>
          <w:b w:val="0"/>
          <w:bCs w:val="0"/>
        </w:rPr>
        <w:t>概况</w:t>
      </w:r>
      <w:bookmarkEnd w:id="43"/>
      <w:bookmarkEnd w:id="44"/>
      <w:bookmarkEnd w:id="45"/>
    </w:p>
    <w:p>
      <w:pPr>
        <w:widowControl/>
        <w:jc w:val="left"/>
        <w:rPr>
          <w:rFonts w:eastAsia="黑体"/>
          <w:sz w:val="32"/>
          <w:szCs w:val="32"/>
        </w:rPr>
      </w:pPr>
    </w:p>
    <w:p>
      <w:pPr>
        <w:pStyle w:val="4"/>
        <w:numPr>
          <w:ilvl w:val="0"/>
          <w:numId w:val="1"/>
        </w:numPr>
        <w:rPr>
          <w:rFonts w:hint="eastAsia" w:ascii="Times New Roman" w:hAnsi="Times New Roman" w:eastAsia="黑体"/>
          <w:b w:val="0"/>
        </w:rPr>
      </w:pPr>
      <w:bookmarkStart w:id="46" w:name="_Toc388674381_WPSOffice_Level2"/>
      <w:r>
        <w:rPr>
          <w:rFonts w:hint="eastAsia" w:ascii="Times New Roman" w:hAnsi="Times New Roman" w:eastAsia="黑体"/>
          <w:b w:val="0"/>
        </w:rPr>
        <w:t>部门职责</w:t>
      </w:r>
      <w:bookmarkEnd w:id="46"/>
    </w:p>
    <w:p>
      <w:pPr>
        <w:spacing w:line="578" w:lineRule="exact"/>
        <w:rPr>
          <w:rFonts w:hint="eastAsia"/>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维护军人军属合法权益，加强退役军人服务保障体系建设，建立健全集中统一、职责清晰的退役军人管理保障体制。</w:t>
      </w:r>
    </w:p>
    <w:p>
      <w:pPr>
        <w:numPr>
          <w:ilvl w:val="0"/>
          <w:numId w:val="0"/>
        </w:numPr>
      </w:pPr>
    </w:p>
    <w:p>
      <w:pPr>
        <w:pStyle w:val="4"/>
        <w:rPr>
          <w:rStyle w:val="29"/>
          <w:rFonts w:ascii="Times New Roman" w:hAnsi="Times New Roman"/>
          <w:b w:val="0"/>
          <w:bCs w:val="0"/>
        </w:rPr>
      </w:pPr>
      <w:bookmarkStart w:id="47" w:name="_Toc15377200"/>
      <w:bookmarkStart w:id="48" w:name="_Toc15396601"/>
      <w:bookmarkStart w:id="49" w:name="_Toc7824327_WPSOffice_Level2"/>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47"/>
      <w:bookmarkEnd w:id="48"/>
      <w:bookmarkEnd w:id="49"/>
    </w:p>
    <w:p>
      <w:pPr>
        <w:spacing w:line="578" w:lineRule="exact"/>
        <w:ind w:firstLine="640" w:firstLineChars="200"/>
        <w:rPr>
          <w:rFonts w:eastAsia="仿宋"/>
          <w:kern w:val="0"/>
          <w:sz w:val="32"/>
          <w:szCs w:val="32"/>
        </w:rPr>
      </w:pPr>
      <w:r>
        <w:rPr>
          <w:rFonts w:hint="eastAsia" w:ascii="仿宋_GB2312" w:hAnsi="仿宋_GB2312" w:eastAsia="仿宋_GB2312" w:cs="仿宋_GB2312"/>
          <w:sz w:val="32"/>
          <w:szCs w:val="32"/>
        </w:rPr>
        <w:t>攀枝花市退役军人事务局属独立核算的行政机构。内设机构5个：办公室、安置与就业创业科、优抚与褒扬纪念科、权益维护科（应急与信访科）、双拥工作科。</w:t>
      </w:r>
      <w:r>
        <w:rPr>
          <w:rFonts w:eastAsia="仿宋"/>
          <w:sz w:val="32"/>
          <w:szCs w:val="32"/>
        </w:rPr>
        <w:br w:type="page"/>
      </w:r>
    </w:p>
    <w:p>
      <w:pPr>
        <w:pStyle w:val="3"/>
        <w:jc w:val="center"/>
        <w:rPr>
          <w:rFonts w:eastAsia="方正小标宋简体" w:cs="方正小标宋简体"/>
          <w:b w:val="0"/>
        </w:rPr>
      </w:pPr>
      <w:bookmarkStart w:id="50" w:name="_Toc15396602"/>
      <w:bookmarkStart w:id="51" w:name="_Toc388674381_WPSOffice_Level1"/>
      <w:bookmarkStart w:id="52" w:name="_Toc15377204"/>
      <w:r>
        <w:rPr>
          <w:rFonts w:hint="eastAsia" w:eastAsia="方正小标宋简体" w:cs="方正小标宋简体"/>
          <w:b w:val="0"/>
        </w:rPr>
        <w:t>第二部分  2025年度部门决算情况说明</w:t>
      </w:r>
      <w:bookmarkEnd w:id="50"/>
      <w:bookmarkEnd w:id="51"/>
      <w:bookmarkEnd w:id="52"/>
    </w:p>
    <w:p/>
    <w:p>
      <w:pPr>
        <w:pStyle w:val="27"/>
        <w:spacing w:line="600" w:lineRule="exact"/>
        <w:ind w:firstLine="640"/>
        <w:outlineLvl w:val="1"/>
        <w:rPr>
          <w:rStyle w:val="29"/>
          <w:rFonts w:ascii="Times New Roman" w:hAnsi="Times New Roman" w:eastAsia="黑体"/>
          <w:b w:val="0"/>
        </w:rPr>
      </w:pPr>
      <w:bookmarkStart w:id="53" w:name="_Toc645985918_WPSOffice_Level2"/>
      <w:bookmarkStart w:id="54" w:name="_Toc15396603"/>
      <w:bookmarkStart w:id="55"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53"/>
      <w:bookmarkEnd w:id="54"/>
      <w:bookmarkEnd w:id="55"/>
    </w:p>
    <w:p>
      <w:pPr>
        <w:spacing w:line="600" w:lineRule="exact"/>
        <w:ind w:firstLine="420" w:firstLineChars="200"/>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229870</wp:posOffset>
            </wp:positionH>
            <wp:positionV relativeFrom="paragraph">
              <wp:posOffset>1266825</wp:posOffset>
            </wp:positionV>
            <wp:extent cx="5272405" cy="3962400"/>
            <wp:effectExtent l="0" t="0" r="4445" b="0"/>
            <wp:wrapTopAndBottom/>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8"/>
                    <a:stretch>
                      <a:fillRect/>
                    </a:stretch>
                  </pic:blipFill>
                  <pic:spPr>
                    <a:xfrm>
                      <a:off x="0" y="0"/>
                      <a:ext cx="5272405" cy="3962400"/>
                    </a:xfrm>
                    <a:prstGeom prst="rect">
                      <a:avLst/>
                    </a:prstGeom>
                    <a:noFill/>
                    <a:ln>
                      <a:noFill/>
                    </a:ln>
                  </pic:spPr>
                </pic:pic>
              </a:graphicData>
            </a:graphic>
          </wp:anchor>
        </w:drawing>
      </w:r>
      <w:r>
        <w:rPr>
          <w:rFonts w:hint="eastAsia" w:eastAsia="仿宋_GB2312" w:cs="仿宋_GB2312"/>
          <w:sz w:val="32"/>
          <w:szCs w:val="32"/>
        </w:rPr>
        <w:t>2025年度收入、支出</w:t>
      </w:r>
      <w:r>
        <w:rPr>
          <w:rFonts w:hint="eastAsia" w:eastAsia="仿宋_GB2312" w:cs="仿宋_GB2312"/>
          <w:sz w:val="32"/>
          <w:szCs w:val="32"/>
          <w:lang w:eastAsia="zh-CN"/>
        </w:rPr>
        <w:t>总计均</w:t>
      </w:r>
      <w:r>
        <w:rPr>
          <w:rFonts w:hint="eastAsia" w:eastAsia="仿宋_GB2312" w:cs="仿宋_GB2312"/>
          <w:sz w:val="32"/>
          <w:szCs w:val="32"/>
        </w:rPr>
        <w:t>为</w:t>
      </w:r>
      <w:r>
        <w:rPr>
          <w:rFonts w:hint="default" w:eastAsia="仿宋_GB2312" w:cs="仿宋_GB2312"/>
          <w:sz w:val="32"/>
          <w:szCs w:val="32"/>
          <w:lang w:val="en"/>
        </w:rPr>
        <w:t>3,568.02</w:t>
      </w:r>
      <w:r>
        <w:rPr>
          <w:rFonts w:hint="eastAsia" w:eastAsia="仿宋_GB2312" w:cs="仿宋_GB2312"/>
          <w:sz w:val="32"/>
          <w:szCs w:val="32"/>
        </w:rPr>
        <w:t>万元。与上年度相比，</w:t>
      </w:r>
      <w:r>
        <w:rPr>
          <w:rFonts w:hint="eastAsia" w:ascii="仿宋" w:hAnsi="仿宋" w:eastAsia="仿宋"/>
          <w:sz w:val="32"/>
          <w:szCs w:val="32"/>
          <w:lang w:val="en-US" w:eastAsia="zh-CN"/>
        </w:rPr>
        <w:t>收入增加</w:t>
      </w:r>
      <w:r>
        <w:rPr>
          <w:rFonts w:hint="default" w:ascii="仿宋" w:hAnsi="仿宋" w:eastAsia="仿宋"/>
          <w:sz w:val="32"/>
          <w:szCs w:val="32"/>
          <w:lang w:val="en" w:eastAsia="zh-CN"/>
        </w:rPr>
        <w:t>146.09</w:t>
      </w:r>
      <w:r>
        <w:rPr>
          <w:rFonts w:hint="eastAsia" w:ascii="仿宋" w:hAnsi="仿宋" w:eastAsia="仿宋"/>
          <w:sz w:val="32"/>
          <w:szCs w:val="32"/>
          <w:lang w:val="en" w:eastAsia="zh-CN"/>
        </w:rPr>
        <w:t>万元，增长</w:t>
      </w:r>
      <w:r>
        <w:rPr>
          <w:rFonts w:hint="default" w:ascii="仿宋" w:hAnsi="仿宋" w:eastAsia="仿宋"/>
          <w:sz w:val="32"/>
          <w:szCs w:val="32"/>
          <w:lang w:val="en" w:eastAsia="zh-CN"/>
        </w:rPr>
        <w:t>4.3</w:t>
      </w:r>
      <w:r>
        <w:rPr>
          <w:rFonts w:hint="eastAsia" w:ascii="仿宋" w:hAnsi="仿宋" w:eastAsia="仿宋"/>
          <w:sz w:val="32"/>
          <w:szCs w:val="32"/>
          <w:lang w:val="en-US" w:eastAsia="zh-CN"/>
        </w:rPr>
        <w:t>%。主要变动原因</w:t>
      </w:r>
      <w:bookmarkStart w:id="56" w:name="_Hlk113387915"/>
      <w:r>
        <w:rPr>
          <w:rFonts w:hint="eastAsia" w:ascii="仿宋" w:hAnsi="仿宋" w:eastAsia="仿宋"/>
          <w:sz w:val="32"/>
          <w:szCs w:val="32"/>
          <w:lang w:val="en-US" w:eastAsia="zh-CN"/>
        </w:rPr>
        <w:t>是企业军转干部生活困难补助</w:t>
      </w:r>
      <w:bookmarkEnd w:id="56"/>
      <w:r>
        <w:rPr>
          <w:rFonts w:hint="eastAsia" w:ascii="仿宋" w:hAnsi="仿宋" w:eastAsia="仿宋"/>
          <w:sz w:val="32"/>
          <w:szCs w:val="32"/>
          <w:lang w:val="en-US" w:eastAsia="zh-CN"/>
        </w:rPr>
        <w:t>增加。</w:t>
      </w:r>
    </w:p>
    <w:p>
      <w:pPr>
        <w:pStyle w:val="27"/>
        <w:spacing w:line="600" w:lineRule="exact"/>
        <w:ind w:left="0" w:leftChars="0" w:firstLine="0" w:firstLineChars="0"/>
        <w:jc w:val="center"/>
        <w:outlineLvl w:val="1"/>
        <w:rPr>
          <w:rFonts w:hint="eastAsia" w:eastAsia="仿宋_GB2312" w:cs="仿宋_GB2312"/>
          <w:sz w:val="32"/>
          <w:szCs w:val="32"/>
        </w:rPr>
      </w:pPr>
      <w:r>
        <w:rPr>
          <w:rFonts w:hint="eastAsia" w:eastAsia="仿宋_GB2312" w:cs="仿宋_GB2312"/>
          <w:sz w:val="32"/>
          <w:szCs w:val="32"/>
          <w:lang w:eastAsia="zh-CN"/>
        </w:rPr>
        <w:t>　　</w:t>
      </w:r>
      <w:r>
        <w:rPr>
          <w:rFonts w:hint="eastAsia" w:eastAsia="仿宋_GB2312" w:cs="仿宋_GB2312"/>
          <w:sz w:val="32"/>
          <w:szCs w:val="32"/>
        </w:rPr>
        <w:t>（图1：收入、支出决算总计变动情况图）（柱状图）</w:t>
      </w:r>
    </w:p>
    <w:p>
      <w:pPr>
        <w:pStyle w:val="27"/>
        <w:spacing w:line="600" w:lineRule="exact"/>
        <w:ind w:firstLine="640"/>
        <w:outlineLvl w:val="1"/>
        <w:rPr>
          <w:rFonts w:eastAsia="黑体"/>
          <w:sz w:val="32"/>
          <w:szCs w:val="32"/>
        </w:rPr>
      </w:pPr>
      <w:bookmarkStart w:id="57" w:name="_Toc1263255641_WPSOffice_Level2"/>
      <w:bookmarkStart w:id="58" w:name="_Toc15396604"/>
      <w:bookmarkStart w:id="59" w:name="_Toc15377206"/>
      <w:r>
        <w:rPr>
          <w:rFonts w:hint="eastAsia" w:eastAsia="黑体"/>
          <w:sz w:val="32"/>
          <w:szCs w:val="32"/>
        </w:rPr>
        <w:t>二、收入决算情况说明</w:t>
      </w:r>
      <w:bookmarkEnd w:id="57"/>
      <w:bookmarkEnd w:id="58"/>
      <w:bookmarkEnd w:id="59"/>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default" w:eastAsia="仿宋_GB2312" w:cs="仿宋_GB2312"/>
          <w:sz w:val="32"/>
          <w:szCs w:val="32"/>
          <w:lang w:val="en"/>
        </w:rPr>
        <w:t>3,563.25</w:t>
      </w:r>
      <w:r>
        <w:rPr>
          <w:rFonts w:hint="eastAsia" w:eastAsia="仿宋_GB2312" w:cs="仿宋_GB2312"/>
          <w:sz w:val="32"/>
          <w:szCs w:val="32"/>
        </w:rPr>
        <w:t>万元，其中：一般公共预算财政拨款收入</w:t>
      </w:r>
      <w:r>
        <w:rPr>
          <w:rFonts w:hint="default" w:eastAsia="仿宋_GB2312" w:cs="仿宋_GB2312"/>
          <w:sz w:val="32"/>
          <w:szCs w:val="32"/>
          <w:lang w:val="en"/>
        </w:rPr>
        <w:t>3,551.69</w:t>
      </w:r>
      <w:r>
        <w:rPr>
          <w:rFonts w:hint="eastAsia" w:eastAsia="仿宋_GB2312" w:cs="仿宋_GB2312"/>
          <w:sz w:val="32"/>
          <w:szCs w:val="32"/>
        </w:rPr>
        <w:t>万元，占</w:t>
      </w:r>
      <w:r>
        <w:rPr>
          <w:rFonts w:hint="default" w:eastAsia="仿宋_GB2312" w:cs="仿宋_GB2312"/>
          <w:sz w:val="32"/>
          <w:szCs w:val="32"/>
          <w:lang w:val="en"/>
        </w:rPr>
        <w:t>99.7</w:t>
      </w:r>
      <w:r>
        <w:rPr>
          <w:rFonts w:hint="eastAsia" w:eastAsia="仿宋_GB2312" w:cs="仿宋_GB2312"/>
          <w:sz w:val="32"/>
          <w:szCs w:val="32"/>
        </w:rPr>
        <w:t>%；政府性基金预算财政拨款收入</w:t>
      </w:r>
      <w:r>
        <w:rPr>
          <w:rFonts w:hint="default" w:eastAsia="仿宋_GB2312" w:cs="仿宋_GB2312"/>
          <w:sz w:val="32"/>
          <w:szCs w:val="32"/>
          <w:lang w:val="en"/>
        </w:rPr>
        <w:t>11.11</w:t>
      </w:r>
      <w:r>
        <w:rPr>
          <w:rFonts w:hint="eastAsia" w:eastAsia="仿宋_GB2312" w:cs="仿宋_GB2312"/>
          <w:sz w:val="32"/>
          <w:szCs w:val="32"/>
        </w:rPr>
        <w:t>万元，占</w:t>
      </w:r>
      <w:r>
        <w:rPr>
          <w:rFonts w:hint="default" w:eastAsia="仿宋_GB2312" w:cs="仿宋_GB2312"/>
          <w:sz w:val="32"/>
          <w:szCs w:val="32"/>
          <w:lang w:val="en"/>
        </w:rPr>
        <w:t>0.3</w:t>
      </w:r>
      <w:r>
        <w:rPr>
          <w:rFonts w:hint="eastAsia" w:eastAsia="仿宋_GB2312" w:cs="仿宋_GB2312"/>
          <w:sz w:val="32"/>
          <w:szCs w:val="32"/>
        </w:rPr>
        <w:t>%；其他收入</w:t>
      </w:r>
      <w:r>
        <w:rPr>
          <w:rFonts w:hint="default" w:eastAsia="仿宋_GB2312" w:cs="仿宋_GB2312"/>
          <w:sz w:val="32"/>
          <w:szCs w:val="32"/>
          <w:lang w:val="en"/>
        </w:rPr>
        <w:t>0.44</w:t>
      </w:r>
      <w:r>
        <w:rPr>
          <w:rFonts w:hint="eastAsia" w:eastAsia="仿宋_GB2312" w:cs="仿宋_GB2312"/>
          <w:sz w:val="32"/>
          <w:szCs w:val="32"/>
        </w:rPr>
        <w:t>万元，占</w:t>
      </w:r>
      <w:r>
        <w:rPr>
          <w:rFonts w:hint="default" w:eastAsia="仿宋_GB2312" w:cs="仿宋_GB2312"/>
          <w:sz w:val="32"/>
          <w:szCs w:val="32"/>
          <w:lang w:val="en"/>
        </w:rPr>
        <w:t>0</w:t>
      </w:r>
      <w:r>
        <w:rPr>
          <w:rFonts w:hint="eastAsia" w:eastAsia="仿宋_GB2312" w:cs="仿宋_GB2312"/>
          <w:sz w:val="32"/>
          <w:szCs w:val="32"/>
        </w:rPr>
        <w:t>%。</w:t>
      </w:r>
    </w:p>
    <w:p>
      <w:pPr>
        <w:pStyle w:val="27"/>
        <w:spacing w:line="600" w:lineRule="exact"/>
        <w:ind w:firstLine="640"/>
        <w:jc w:val="center"/>
        <w:outlineLvl w:val="1"/>
        <w:rPr>
          <w:rFonts w:hint="eastAsia" w:eastAsia="仿宋_GB2312" w:cs="仿宋_GB2312"/>
          <w:sz w:val="32"/>
          <w:szCs w:val="32"/>
        </w:rPr>
      </w:pPr>
      <w:r>
        <w:drawing>
          <wp:anchor distT="0" distB="0" distL="114300" distR="114300" simplePos="0" relativeHeight="251661312" behindDoc="0" locked="0" layoutInCell="1" allowOverlap="1">
            <wp:simplePos x="0" y="0"/>
            <wp:positionH relativeFrom="column">
              <wp:posOffset>-9525</wp:posOffset>
            </wp:positionH>
            <wp:positionV relativeFrom="paragraph">
              <wp:posOffset>123825</wp:posOffset>
            </wp:positionV>
            <wp:extent cx="5159375" cy="3338830"/>
            <wp:effectExtent l="0" t="0" r="3175" b="13970"/>
            <wp:wrapTopAndBottom/>
            <wp:docPr id="10"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true"/>
                    </pic:cNvPicPr>
                  </pic:nvPicPr>
                  <pic:blipFill>
                    <a:blip r:embed="rId9"/>
                    <a:stretch>
                      <a:fillRect/>
                    </a:stretch>
                  </pic:blipFill>
                  <pic:spPr>
                    <a:xfrm>
                      <a:off x="0" y="0"/>
                      <a:ext cx="5159375" cy="3338830"/>
                    </a:xfrm>
                    <a:prstGeom prst="rect">
                      <a:avLst/>
                    </a:prstGeom>
                    <a:noFill/>
                    <a:ln>
                      <a:noFill/>
                    </a:ln>
                  </pic:spPr>
                </pic:pic>
              </a:graphicData>
            </a:graphic>
          </wp:anchor>
        </w:drawing>
      </w:r>
      <w:r>
        <w:rPr>
          <w:rFonts w:hint="eastAsia" w:eastAsia="仿宋_GB2312" w:cs="仿宋_GB2312"/>
          <w:sz w:val="32"/>
          <w:szCs w:val="32"/>
        </w:rPr>
        <w:t>（图2：收入决算结构图）（饼状图）</w:t>
      </w:r>
    </w:p>
    <w:p>
      <w:pPr>
        <w:pStyle w:val="27"/>
        <w:spacing w:line="600" w:lineRule="exact"/>
        <w:ind w:firstLine="640"/>
        <w:outlineLvl w:val="1"/>
        <w:rPr>
          <w:rStyle w:val="29"/>
          <w:rFonts w:ascii="Times New Roman" w:hAnsi="Times New Roman" w:eastAsia="黑体"/>
          <w:b w:val="0"/>
        </w:rPr>
      </w:pPr>
      <w:bookmarkStart w:id="60" w:name="_Toc1394861929_WPSOffice_Level2"/>
      <w:bookmarkStart w:id="61" w:name="_Toc15396605"/>
      <w:bookmarkStart w:id="62" w:name="_Toc15377207"/>
      <w:r>
        <w:rPr>
          <w:rFonts w:hint="eastAsia" w:eastAsia="黑体"/>
          <w:sz w:val="32"/>
          <w:szCs w:val="32"/>
        </w:rPr>
        <w:t>三、支</w:t>
      </w:r>
      <w:r>
        <w:rPr>
          <w:rStyle w:val="29"/>
          <w:rFonts w:hint="eastAsia" w:ascii="Times New Roman" w:hAnsi="Times New Roman" w:eastAsia="黑体"/>
          <w:b w:val="0"/>
        </w:rPr>
        <w:t>出决算情况说明</w:t>
      </w:r>
      <w:bookmarkEnd w:id="60"/>
      <w:bookmarkEnd w:id="61"/>
      <w:bookmarkEnd w:id="62"/>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2025年度本年支出合计</w:t>
      </w:r>
      <w:r>
        <w:rPr>
          <w:rFonts w:hint="default" w:eastAsia="仿宋_GB2312" w:cs="仿宋_GB2312"/>
          <w:sz w:val="32"/>
          <w:szCs w:val="32"/>
          <w:lang w:val="en"/>
        </w:rPr>
        <w:t>3,563.39</w:t>
      </w:r>
      <w:r>
        <w:rPr>
          <w:rFonts w:hint="eastAsia" w:eastAsia="仿宋_GB2312" w:cs="仿宋_GB2312"/>
          <w:sz w:val="32"/>
          <w:szCs w:val="32"/>
        </w:rPr>
        <w:t>万元，其中：基本支出</w:t>
      </w:r>
      <w:r>
        <w:rPr>
          <w:rFonts w:hint="default" w:eastAsia="仿宋_GB2312" w:cs="仿宋_GB2312"/>
          <w:sz w:val="32"/>
          <w:szCs w:val="32"/>
          <w:lang w:val="en"/>
        </w:rPr>
        <w:t>388.12</w:t>
      </w:r>
      <w:r>
        <w:rPr>
          <w:rFonts w:hint="eastAsia" w:eastAsia="仿宋_GB2312" w:cs="仿宋_GB2312"/>
          <w:sz w:val="32"/>
          <w:szCs w:val="32"/>
        </w:rPr>
        <w:t>万元，占</w:t>
      </w:r>
      <w:r>
        <w:rPr>
          <w:rFonts w:hint="default" w:eastAsia="仿宋_GB2312" w:cs="仿宋_GB2312"/>
          <w:sz w:val="32"/>
          <w:szCs w:val="32"/>
          <w:lang w:val="en"/>
        </w:rPr>
        <w:t>10.9</w:t>
      </w:r>
      <w:r>
        <w:rPr>
          <w:rFonts w:hint="eastAsia" w:eastAsia="仿宋_GB2312" w:cs="仿宋_GB2312"/>
          <w:sz w:val="32"/>
          <w:szCs w:val="32"/>
        </w:rPr>
        <w:t>%；项目支出</w:t>
      </w:r>
      <w:r>
        <w:rPr>
          <w:rFonts w:hint="default" w:eastAsia="仿宋_GB2312" w:cs="仿宋_GB2312"/>
          <w:sz w:val="32"/>
          <w:szCs w:val="32"/>
          <w:lang w:val="en"/>
        </w:rPr>
        <w:t>3,175.27</w:t>
      </w:r>
      <w:r>
        <w:rPr>
          <w:rFonts w:hint="eastAsia" w:eastAsia="仿宋_GB2312" w:cs="仿宋_GB2312"/>
          <w:sz w:val="32"/>
          <w:szCs w:val="32"/>
        </w:rPr>
        <w:t>万元，占</w:t>
      </w:r>
      <w:r>
        <w:rPr>
          <w:rFonts w:hint="default" w:eastAsia="仿宋_GB2312" w:cs="仿宋_GB2312"/>
          <w:sz w:val="32"/>
          <w:szCs w:val="32"/>
          <w:lang w:val="en"/>
        </w:rPr>
        <w:t>89.1</w:t>
      </w:r>
      <w:r>
        <w:rPr>
          <w:rFonts w:hint="eastAsia" w:eastAsia="仿宋_GB2312" w:cs="仿宋_GB2312"/>
          <w:sz w:val="32"/>
          <w:szCs w:val="32"/>
        </w:rPr>
        <w:t>%</w:t>
      </w:r>
      <w:r>
        <w:rPr>
          <w:rFonts w:hint="eastAsia" w:eastAsia="仿宋_GB2312" w:cs="仿宋_GB2312"/>
          <w:sz w:val="32"/>
          <w:szCs w:val="32"/>
          <w:lang w:eastAsia="zh-CN"/>
        </w:rPr>
        <w:t>。</w:t>
      </w:r>
    </w:p>
    <w:p>
      <w:pPr>
        <w:pStyle w:val="27"/>
        <w:spacing w:line="240" w:lineRule="auto"/>
        <w:ind w:left="0" w:leftChars="0" w:firstLine="0" w:firstLineChars="0"/>
        <w:outlineLvl w:val="1"/>
        <w:rPr>
          <w:rFonts w:hint="eastAsia" w:eastAsia="仿宋_GB2312" w:cs="仿宋_GB2312"/>
          <w:sz w:val="32"/>
          <w:szCs w:val="32"/>
        </w:rPr>
      </w:pPr>
      <w:r>
        <w:drawing>
          <wp:anchor distT="0" distB="0" distL="114300" distR="114300" simplePos="0" relativeHeight="251664384" behindDoc="0" locked="0" layoutInCell="1" allowOverlap="1">
            <wp:simplePos x="0" y="0"/>
            <wp:positionH relativeFrom="column">
              <wp:posOffset>78740</wp:posOffset>
            </wp:positionH>
            <wp:positionV relativeFrom="page">
              <wp:posOffset>6792595</wp:posOffset>
            </wp:positionV>
            <wp:extent cx="5095240" cy="3206750"/>
            <wp:effectExtent l="0" t="0" r="10160" b="12700"/>
            <wp:wrapSquare wrapText="bothSides"/>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10"/>
                    <a:stretch>
                      <a:fillRect/>
                    </a:stretch>
                  </pic:blipFill>
                  <pic:spPr>
                    <a:xfrm>
                      <a:off x="0" y="0"/>
                      <a:ext cx="5095240" cy="3206750"/>
                    </a:xfrm>
                    <a:prstGeom prst="rect">
                      <a:avLst/>
                    </a:prstGeom>
                    <a:noFill/>
                    <a:ln>
                      <a:noFill/>
                    </a:ln>
                  </pic:spPr>
                </pic:pic>
              </a:graphicData>
            </a:graphic>
          </wp:anchor>
        </w:drawing>
      </w:r>
    </w:p>
    <w:p>
      <w:pPr>
        <w:pStyle w:val="27"/>
        <w:spacing w:line="600" w:lineRule="exact"/>
        <w:ind w:left="0" w:leftChars="0" w:firstLine="0" w:firstLineChars="0"/>
        <w:jc w:val="center"/>
        <w:outlineLvl w:val="1"/>
        <w:rPr>
          <w:rFonts w:eastAsia="仿宋_GB2312" w:cs="仿宋_GB2312"/>
          <w:sz w:val="32"/>
          <w:szCs w:val="32"/>
        </w:rPr>
      </w:pPr>
      <w:r>
        <w:rPr>
          <w:rFonts w:hint="eastAsia" w:eastAsia="仿宋_GB2312" w:cs="仿宋_GB2312"/>
          <w:sz w:val="32"/>
          <w:szCs w:val="32"/>
        </w:rPr>
        <w:t>（图3：支出决算结构图）（饼状图）</w:t>
      </w:r>
    </w:p>
    <w:p>
      <w:pPr>
        <w:spacing w:line="600" w:lineRule="exact"/>
        <w:ind w:firstLine="640" w:firstLineChars="200"/>
        <w:outlineLvl w:val="1"/>
        <w:rPr>
          <w:rStyle w:val="29"/>
          <w:rFonts w:ascii="Times New Roman" w:hAnsi="Times New Roman" w:eastAsia="黑体"/>
          <w:b w:val="0"/>
        </w:rPr>
      </w:pPr>
      <w:bookmarkStart w:id="63" w:name="_Toc15396606"/>
      <w:bookmarkStart w:id="64" w:name="_Toc79324693_WPSOffice_Level2"/>
      <w:bookmarkStart w:id="65" w:name="_Toc15377208"/>
      <w:r>
        <w:rPr>
          <w:rFonts w:hint="eastAsia" w:eastAsia="黑体"/>
          <w:sz w:val="32"/>
          <w:szCs w:val="32"/>
        </w:rPr>
        <w:t>四、财</w:t>
      </w:r>
      <w:r>
        <w:rPr>
          <w:rStyle w:val="29"/>
          <w:rFonts w:hint="eastAsia" w:ascii="Times New Roman" w:hAnsi="Times New Roman" w:eastAsia="黑体"/>
          <w:b w:val="0"/>
        </w:rPr>
        <w:t>政拨款收入支出决算总体情况说明</w:t>
      </w:r>
      <w:bookmarkEnd w:id="63"/>
      <w:bookmarkEnd w:id="64"/>
      <w:bookmarkEnd w:id="65"/>
    </w:p>
    <w:p>
      <w:pPr>
        <w:spacing w:line="600" w:lineRule="exact"/>
        <w:ind w:firstLine="640" w:firstLineChars="200"/>
        <w:rPr>
          <w:rFonts w:hint="eastAsia" w:eastAsia="仿宋_GB2312" w:cs="仿宋_GB2312"/>
          <w:sz w:val="32"/>
          <w:szCs w:val="32"/>
        </w:rPr>
      </w:pPr>
      <w:r>
        <w:rPr>
          <w:rFonts w:hint="eastAsia" w:eastAsia="仿宋_GB2312" w:cs="仿宋_GB2312"/>
          <w:sz w:val="32"/>
          <w:szCs w:val="32"/>
        </w:rPr>
        <w:t>2025年度财政拨款收入、支出总计</w:t>
      </w:r>
      <w:r>
        <w:rPr>
          <w:rFonts w:hint="eastAsia" w:eastAsia="仿宋_GB2312" w:cs="仿宋_GB2312"/>
          <w:sz w:val="32"/>
          <w:szCs w:val="32"/>
          <w:lang w:eastAsia="zh-CN"/>
        </w:rPr>
        <w:t>均</w:t>
      </w:r>
      <w:r>
        <w:rPr>
          <w:rFonts w:hint="eastAsia" w:eastAsia="仿宋_GB2312" w:cs="仿宋_GB2312"/>
          <w:sz w:val="32"/>
          <w:szCs w:val="32"/>
        </w:rPr>
        <w:t>为</w:t>
      </w:r>
      <w:r>
        <w:rPr>
          <w:rFonts w:hint="default" w:eastAsia="仿宋_GB2312" w:cs="仿宋_GB2312"/>
          <w:sz w:val="32"/>
          <w:szCs w:val="32"/>
          <w:lang w:val="en"/>
        </w:rPr>
        <w:t>3,562.8</w:t>
      </w:r>
      <w:r>
        <w:rPr>
          <w:rFonts w:hint="eastAsia" w:eastAsia="仿宋_GB2312" w:cs="仿宋_GB2312"/>
          <w:sz w:val="32"/>
          <w:szCs w:val="32"/>
        </w:rPr>
        <w:t>万元。与上年度相比，财政拨款收入、支出总计各增加</w:t>
      </w:r>
      <w:r>
        <w:rPr>
          <w:rFonts w:hint="default" w:eastAsia="仿宋_GB2312" w:cs="仿宋_GB2312"/>
          <w:sz w:val="32"/>
          <w:szCs w:val="32"/>
          <w:lang w:val="en"/>
        </w:rPr>
        <w:t>221.17</w:t>
      </w:r>
      <w:r>
        <w:rPr>
          <w:rFonts w:hint="eastAsia" w:eastAsia="仿宋_GB2312" w:cs="仿宋_GB2312"/>
          <w:sz w:val="32"/>
          <w:szCs w:val="32"/>
        </w:rPr>
        <w:t>万元，增长</w:t>
      </w:r>
      <w:r>
        <w:rPr>
          <w:rFonts w:hint="default" w:eastAsia="仿宋_GB2312" w:cs="仿宋_GB2312"/>
          <w:sz w:val="32"/>
          <w:szCs w:val="32"/>
          <w:lang w:val="en"/>
        </w:rPr>
        <w:t>6.6</w:t>
      </w:r>
      <w:r>
        <w:rPr>
          <w:rFonts w:hint="eastAsia" w:eastAsia="仿宋_GB2312" w:cs="仿宋_GB2312"/>
          <w:sz w:val="32"/>
          <w:szCs w:val="32"/>
        </w:rPr>
        <w:t>%。主要变动原因是</w:t>
      </w:r>
      <w:r>
        <w:rPr>
          <w:rFonts w:hint="eastAsia" w:ascii="仿宋" w:hAnsi="仿宋" w:eastAsia="仿宋"/>
          <w:sz w:val="32"/>
          <w:szCs w:val="32"/>
          <w:lang w:val="en-US" w:eastAsia="zh-CN"/>
        </w:rPr>
        <w:t>企业军转干部生活困难补助增加。</w:t>
      </w:r>
    </w:p>
    <w:p>
      <w:pPr>
        <w:pStyle w:val="2"/>
        <w:rPr>
          <w:rFonts w:hint="eastAsia" w:eastAsia="仿宋_GB2312" w:cs="仿宋_GB2312"/>
          <w:sz w:val="32"/>
          <w:szCs w:val="32"/>
        </w:rPr>
      </w:pPr>
      <w:r>
        <w:rPr>
          <w:rFonts w:hint="eastAsia"/>
          <w:lang w:eastAsia="zh-CN"/>
        </w:rPr>
        <w:t>下降</w:t>
      </w:r>
      <w:r>
        <w:drawing>
          <wp:inline distT="0" distB="0" distL="114300" distR="114300">
            <wp:extent cx="5242560" cy="3339465"/>
            <wp:effectExtent l="0" t="0" r="15240" b="13335"/>
            <wp:docPr id="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true"/>
                    </pic:cNvPicPr>
                  </pic:nvPicPr>
                  <pic:blipFill>
                    <a:blip r:embed="rId11"/>
                    <a:stretch>
                      <a:fillRect/>
                    </a:stretch>
                  </pic:blipFill>
                  <pic:spPr>
                    <a:xfrm>
                      <a:off x="0" y="0"/>
                      <a:ext cx="5242560" cy="3339465"/>
                    </a:xfrm>
                    <a:prstGeom prst="rect">
                      <a:avLst/>
                    </a:prstGeom>
                    <a:noFill/>
                    <a:ln>
                      <a:noFill/>
                    </a:ln>
                  </pic:spPr>
                </pic:pic>
              </a:graphicData>
            </a:graphic>
          </wp:inline>
        </w:drawing>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firstLineChars="200"/>
        <w:outlineLvl w:val="1"/>
        <w:rPr>
          <w:rStyle w:val="29"/>
          <w:rFonts w:ascii="Times New Roman" w:hAnsi="Times New Roman" w:eastAsia="黑体"/>
          <w:b w:val="0"/>
        </w:rPr>
      </w:pPr>
      <w:bookmarkStart w:id="66" w:name="_Toc511925210_WPSOffice_Level2"/>
      <w:bookmarkStart w:id="67" w:name="_Toc15396607"/>
      <w:bookmarkStart w:id="68"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66"/>
      <w:bookmarkEnd w:id="67"/>
      <w:bookmarkEnd w:id="68"/>
    </w:p>
    <w:p>
      <w:pPr>
        <w:spacing w:line="600" w:lineRule="exact"/>
        <w:ind w:firstLine="642" w:firstLineChars="200"/>
        <w:outlineLvl w:val="2"/>
        <w:rPr>
          <w:rFonts w:eastAsia="楷体_GB2312" w:cs="楷体_GB2312"/>
          <w:b/>
          <w:sz w:val="32"/>
          <w:szCs w:val="32"/>
        </w:rPr>
      </w:pPr>
      <w:bookmarkStart w:id="69" w:name="_Toc15377210"/>
      <w:r>
        <w:rPr>
          <w:rFonts w:hint="eastAsia" w:eastAsia="楷体_GB2312" w:cs="楷体_GB2312"/>
          <w:b/>
          <w:sz w:val="32"/>
          <w:szCs w:val="32"/>
        </w:rPr>
        <w:t>（一）一般公共预算财政拨款支出决算总体情况</w:t>
      </w:r>
      <w:bookmarkEnd w:id="69"/>
    </w:p>
    <w:p>
      <w:pPr>
        <w:spacing w:line="600" w:lineRule="exact"/>
        <w:ind w:firstLine="640"/>
        <w:rPr>
          <w:rFonts w:hint="eastAsia" w:ascii="仿宋" w:hAnsi="仿宋" w:eastAsia="仿宋"/>
          <w:sz w:val="32"/>
          <w:szCs w:val="32"/>
          <w:lang w:val="en-US" w:eastAsia="zh-CN"/>
        </w:rPr>
      </w:pPr>
      <w:r>
        <w:rPr>
          <w:rFonts w:hint="eastAsia" w:eastAsia="仿宋_GB2312" w:cs="仿宋_GB2312"/>
          <w:sz w:val="32"/>
          <w:szCs w:val="32"/>
        </w:rPr>
        <w:t>2025年度一般公共预算财政拨款支出</w:t>
      </w:r>
      <w:r>
        <w:rPr>
          <w:rFonts w:hint="default" w:eastAsia="仿宋_GB2312" w:cs="仿宋_GB2312"/>
          <w:sz w:val="32"/>
          <w:szCs w:val="32"/>
          <w:lang w:val="en"/>
        </w:rPr>
        <w:t>3,551.69</w:t>
      </w:r>
      <w:r>
        <w:rPr>
          <w:rFonts w:hint="eastAsia" w:eastAsia="仿宋_GB2312" w:cs="仿宋_GB2312"/>
          <w:sz w:val="32"/>
          <w:szCs w:val="32"/>
        </w:rPr>
        <w:t>万元，占本年支出合计的</w:t>
      </w:r>
      <w:r>
        <w:rPr>
          <w:rFonts w:hint="default" w:eastAsia="仿宋_GB2312" w:cs="仿宋_GB2312"/>
          <w:sz w:val="32"/>
          <w:szCs w:val="32"/>
          <w:lang w:val="en"/>
        </w:rPr>
        <w:t>99.7</w:t>
      </w:r>
      <w:r>
        <w:rPr>
          <w:rFonts w:hint="eastAsia" w:eastAsia="仿宋_GB2312" w:cs="仿宋_GB2312"/>
          <w:sz w:val="32"/>
          <w:szCs w:val="32"/>
        </w:rPr>
        <w:t>%。与上年度相比，一般公共预算财政拨款支出增加</w:t>
      </w:r>
      <w:r>
        <w:rPr>
          <w:rFonts w:hint="default" w:eastAsia="仿宋_GB2312" w:cs="仿宋_GB2312"/>
          <w:sz w:val="32"/>
          <w:szCs w:val="32"/>
          <w:lang w:val="en"/>
        </w:rPr>
        <w:t>210.06</w:t>
      </w:r>
      <w:r>
        <w:rPr>
          <w:rFonts w:hint="eastAsia" w:eastAsia="仿宋_GB2312" w:cs="仿宋_GB2312"/>
          <w:sz w:val="32"/>
          <w:szCs w:val="32"/>
        </w:rPr>
        <w:t>万元，增长</w:t>
      </w:r>
      <w:r>
        <w:rPr>
          <w:rFonts w:hint="default" w:eastAsia="仿宋_GB2312" w:cs="仿宋_GB2312"/>
          <w:sz w:val="32"/>
          <w:szCs w:val="32"/>
          <w:lang w:val="en"/>
        </w:rPr>
        <w:t>6.3</w:t>
      </w:r>
      <w:r>
        <w:rPr>
          <w:rFonts w:hint="eastAsia" w:eastAsia="仿宋_GB2312" w:cs="仿宋_GB2312"/>
          <w:sz w:val="32"/>
          <w:szCs w:val="32"/>
        </w:rPr>
        <w:t>%。主要变动原因</w:t>
      </w:r>
      <w:r>
        <w:rPr>
          <w:rFonts w:hint="eastAsia" w:eastAsia="仿宋_GB2312" w:cs="仿宋_GB2312"/>
          <w:sz w:val="32"/>
          <w:szCs w:val="32"/>
          <w:lang w:eastAsia="zh-CN"/>
        </w:rPr>
        <w:t>是</w:t>
      </w:r>
      <w:r>
        <w:rPr>
          <w:rFonts w:hint="eastAsia" w:ascii="仿宋" w:hAnsi="仿宋" w:eastAsia="仿宋"/>
          <w:sz w:val="32"/>
          <w:szCs w:val="32"/>
          <w:lang w:val="en-US" w:eastAsia="zh-CN"/>
        </w:rPr>
        <w:t>企业军转干部生活困难补助增加。</w:t>
      </w:r>
    </w:p>
    <w:p>
      <w:pPr>
        <w:pStyle w:val="2"/>
        <w:rPr>
          <w:rFonts w:hint="eastAsia" w:ascii="仿宋" w:hAnsi="仿宋" w:eastAsia="仿宋"/>
          <w:sz w:val="32"/>
          <w:szCs w:val="32"/>
          <w:lang w:val="en-US" w:eastAsia="zh-CN"/>
        </w:rPr>
      </w:pPr>
      <w:r>
        <w:drawing>
          <wp:inline distT="0" distB="0" distL="114300" distR="114300">
            <wp:extent cx="4947285" cy="3267710"/>
            <wp:effectExtent l="0" t="0" r="5715" b="8890"/>
            <wp:docPr id="8"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true"/>
                    </pic:cNvPicPr>
                  </pic:nvPicPr>
                  <pic:blipFill>
                    <a:blip r:embed="rId12"/>
                    <a:stretch>
                      <a:fillRect/>
                    </a:stretch>
                  </pic:blipFill>
                  <pic:spPr>
                    <a:xfrm>
                      <a:off x="0" y="0"/>
                      <a:ext cx="4947285" cy="3267710"/>
                    </a:xfrm>
                    <a:prstGeom prst="rect">
                      <a:avLst/>
                    </a:prstGeom>
                    <a:noFill/>
                    <a:ln>
                      <a:noFill/>
                    </a:ln>
                  </pic:spPr>
                </pic:pic>
              </a:graphicData>
            </a:graphic>
          </wp:inline>
        </w:drawing>
      </w:r>
    </w:p>
    <w:p>
      <w:pPr>
        <w:spacing w:line="600" w:lineRule="exact"/>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2" w:firstLineChars="200"/>
        <w:outlineLvl w:val="2"/>
        <w:rPr>
          <w:rFonts w:eastAsia="楷体_GB2312" w:cs="楷体_GB2312"/>
          <w:b/>
          <w:sz w:val="32"/>
          <w:szCs w:val="32"/>
        </w:rPr>
      </w:pPr>
      <w:bookmarkStart w:id="70" w:name="_Toc15377211"/>
      <w:r>
        <w:rPr>
          <w:rFonts w:hint="eastAsia" w:eastAsia="楷体_GB2312" w:cs="楷体_GB2312"/>
          <w:b/>
          <w:sz w:val="32"/>
          <w:szCs w:val="32"/>
        </w:rPr>
        <w:t>（二）一般公共预算财政拨款支出决算结构情况</w:t>
      </w:r>
      <w:bookmarkEnd w:id="70"/>
    </w:p>
    <w:p>
      <w:pPr>
        <w:spacing w:line="600" w:lineRule="exact"/>
        <w:ind w:firstLine="640"/>
        <w:rPr>
          <w:rFonts w:hint="eastAsia" w:eastAsia="仿宋_GB2312" w:cs="仿宋_GB2312"/>
          <w:b/>
          <w:bCs/>
          <w:sz w:val="32"/>
          <w:szCs w:val="32"/>
        </w:rPr>
      </w:pPr>
      <w:r>
        <w:drawing>
          <wp:anchor distT="0" distB="0" distL="114300" distR="114300" simplePos="0" relativeHeight="251662336" behindDoc="0" locked="0" layoutInCell="1" allowOverlap="1">
            <wp:simplePos x="0" y="0"/>
            <wp:positionH relativeFrom="column">
              <wp:posOffset>85725</wp:posOffset>
            </wp:positionH>
            <wp:positionV relativeFrom="paragraph">
              <wp:posOffset>1560195</wp:posOffset>
            </wp:positionV>
            <wp:extent cx="5193665" cy="3738245"/>
            <wp:effectExtent l="0" t="0" r="6985" b="14605"/>
            <wp:wrapTopAndBottom/>
            <wp:docPr id="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true"/>
                    </pic:cNvPicPr>
                  </pic:nvPicPr>
                  <pic:blipFill>
                    <a:blip r:embed="rId13"/>
                    <a:stretch>
                      <a:fillRect/>
                    </a:stretch>
                  </pic:blipFill>
                  <pic:spPr>
                    <a:xfrm>
                      <a:off x="0" y="0"/>
                      <a:ext cx="5193665" cy="3738245"/>
                    </a:xfrm>
                    <a:prstGeom prst="rect">
                      <a:avLst/>
                    </a:prstGeom>
                    <a:noFill/>
                    <a:ln>
                      <a:noFill/>
                    </a:ln>
                  </pic:spPr>
                </pic:pic>
              </a:graphicData>
            </a:graphic>
          </wp:anchor>
        </w:drawing>
      </w:r>
      <w:r>
        <w:rPr>
          <w:rFonts w:hint="eastAsia" w:eastAsia="仿宋_GB2312" w:cs="仿宋_GB2312"/>
          <w:sz w:val="32"/>
          <w:szCs w:val="32"/>
        </w:rPr>
        <w:t>2025年度一般公共预算财政拨款支出</w:t>
      </w:r>
      <w:r>
        <w:rPr>
          <w:rFonts w:hint="default" w:eastAsia="仿宋_GB2312" w:cs="仿宋_GB2312"/>
          <w:sz w:val="32"/>
          <w:szCs w:val="32"/>
          <w:lang w:val="en"/>
        </w:rPr>
        <w:t>3,551.69</w:t>
      </w:r>
      <w:r>
        <w:rPr>
          <w:rFonts w:hint="eastAsia" w:eastAsia="仿宋_GB2312" w:cs="仿宋_GB2312"/>
          <w:sz w:val="32"/>
          <w:szCs w:val="32"/>
        </w:rPr>
        <w:t>万元，主要用于以下方面：社会保障和就业支出</w:t>
      </w:r>
      <w:r>
        <w:rPr>
          <w:rFonts w:hint="default" w:eastAsia="仿宋_GB2312" w:cs="仿宋_GB2312"/>
          <w:sz w:val="32"/>
          <w:szCs w:val="32"/>
          <w:lang w:val="en"/>
        </w:rPr>
        <w:t>3,506.37</w:t>
      </w:r>
      <w:r>
        <w:rPr>
          <w:rFonts w:hint="eastAsia" w:eastAsia="仿宋_GB2312" w:cs="仿宋_GB2312"/>
          <w:sz w:val="32"/>
          <w:szCs w:val="32"/>
        </w:rPr>
        <w:t>万元，占</w:t>
      </w:r>
      <w:r>
        <w:rPr>
          <w:rFonts w:hint="default" w:eastAsia="仿宋_GB2312" w:cs="仿宋_GB2312"/>
          <w:sz w:val="32"/>
          <w:szCs w:val="32"/>
          <w:lang w:val="en"/>
        </w:rPr>
        <w:t>98.7</w:t>
      </w:r>
      <w:r>
        <w:rPr>
          <w:rFonts w:hint="eastAsia" w:eastAsia="仿宋_GB2312" w:cs="仿宋_GB2312"/>
          <w:sz w:val="32"/>
          <w:szCs w:val="32"/>
        </w:rPr>
        <w:t>%；卫生健康支出</w:t>
      </w:r>
      <w:r>
        <w:rPr>
          <w:rFonts w:hint="default" w:eastAsia="仿宋_GB2312" w:cs="仿宋_GB2312"/>
          <w:sz w:val="32"/>
          <w:szCs w:val="32"/>
          <w:lang w:val="en"/>
        </w:rPr>
        <w:t>19.04</w:t>
      </w:r>
      <w:r>
        <w:rPr>
          <w:rFonts w:hint="eastAsia" w:eastAsia="仿宋_GB2312" w:cs="仿宋_GB2312"/>
          <w:sz w:val="32"/>
          <w:szCs w:val="32"/>
        </w:rPr>
        <w:t>万元，占</w:t>
      </w:r>
      <w:r>
        <w:rPr>
          <w:rFonts w:hint="default" w:eastAsia="仿宋_GB2312" w:cs="仿宋_GB2312"/>
          <w:sz w:val="32"/>
          <w:szCs w:val="32"/>
          <w:lang w:val="en"/>
        </w:rPr>
        <w:t>0.5</w:t>
      </w:r>
      <w:r>
        <w:rPr>
          <w:rFonts w:hint="eastAsia" w:eastAsia="仿宋_GB2312" w:cs="仿宋_GB2312"/>
          <w:sz w:val="32"/>
          <w:szCs w:val="32"/>
        </w:rPr>
        <w:t>%；住房保障支出</w:t>
      </w:r>
      <w:r>
        <w:rPr>
          <w:rFonts w:hint="default" w:eastAsia="仿宋_GB2312" w:cs="仿宋_GB2312"/>
          <w:sz w:val="32"/>
          <w:szCs w:val="32"/>
          <w:lang w:val="en"/>
        </w:rPr>
        <w:t>26.28</w:t>
      </w:r>
      <w:r>
        <w:rPr>
          <w:rFonts w:hint="eastAsia" w:eastAsia="仿宋_GB2312" w:cs="仿宋_GB2312"/>
          <w:sz w:val="32"/>
          <w:szCs w:val="32"/>
        </w:rPr>
        <w:t>万元，占</w:t>
      </w:r>
      <w:r>
        <w:rPr>
          <w:rFonts w:hint="default" w:eastAsia="仿宋_GB2312" w:cs="仿宋_GB2312"/>
          <w:sz w:val="32"/>
          <w:szCs w:val="32"/>
          <w:lang w:val="en"/>
        </w:rPr>
        <w:t>0.</w:t>
      </w:r>
      <w:r>
        <w:rPr>
          <w:rFonts w:hint="eastAsia" w:eastAsia="仿宋_GB2312" w:cs="仿宋_GB2312"/>
          <w:sz w:val="32"/>
          <w:szCs w:val="32"/>
          <w:lang w:val="en" w:eastAsia="zh-CN"/>
        </w:rPr>
        <w:t>８</w:t>
      </w:r>
      <w:r>
        <w:rPr>
          <w:rFonts w:hint="eastAsia" w:eastAsia="仿宋_GB2312" w:cs="仿宋_GB2312"/>
          <w:sz w:val="32"/>
          <w:szCs w:val="32"/>
        </w:rPr>
        <w:t>%</w:t>
      </w:r>
      <w:r>
        <w:rPr>
          <w:rFonts w:hint="eastAsia" w:eastAsia="仿宋_GB2312" w:cs="仿宋_GB2312"/>
          <w:sz w:val="32"/>
          <w:szCs w:val="32"/>
          <w:lang w:eastAsia="zh-CN"/>
        </w:rPr>
        <w:t>。</w:t>
      </w: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2" w:firstLineChars="200"/>
        <w:outlineLvl w:val="2"/>
        <w:rPr>
          <w:rFonts w:eastAsia="楷体_GB2312" w:cs="楷体_GB2312"/>
          <w:b/>
          <w:sz w:val="32"/>
          <w:szCs w:val="32"/>
        </w:rPr>
      </w:pPr>
      <w:bookmarkStart w:id="71" w:name="_Toc15377212"/>
      <w:r>
        <w:rPr>
          <w:rFonts w:hint="eastAsia" w:eastAsia="楷体_GB2312" w:cs="楷体_GB2312"/>
          <w:b/>
          <w:sz w:val="32"/>
          <w:szCs w:val="32"/>
        </w:rPr>
        <w:t>（三）一般公共预算财政拨款支出决算具体情况</w:t>
      </w:r>
      <w:bookmarkEnd w:id="71"/>
    </w:p>
    <w:p>
      <w:pPr>
        <w:spacing w:line="600" w:lineRule="exact"/>
        <w:ind w:firstLine="640"/>
        <w:rPr>
          <w:rFonts w:eastAsia="仿宋_GB2312" w:cs="仿宋_GB2312"/>
          <w:sz w:val="32"/>
          <w:szCs w:val="32"/>
        </w:rPr>
      </w:pPr>
      <w:bookmarkStart w:id="72" w:name="_Toc15378460"/>
      <w:bookmarkStart w:id="73" w:name="_Toc15377444"/>
      <w:bookmarkStart w:id="74" w:name="_Toc15377213"/>
      <w:r>
        <w:rPr>
          <w:rFonts w:hint="eastAsia" w:eastAsia="仿宋_GB2312" w:cs="仿宋_GB2312"/>
          <w:sz w:val="32"/>
          <w:szCs w:val="32"/>
        </w:rPr>
        <w:t>2025年度一般公共预算支出决算数为</w:t>
      </w:r>
      <w:r>
        <w:rPr>
          <w:rFonts w:hint="default" w:eastAsia="仿宋_GB2312" w:cs="仿宋_GB2312"/>
          <w:sz w:val="32"/>
          <w:szCs w:val="32"/>
          <w:lang w:val="en"/>
        </w:rPr>
        <w:t>3,551.69</w:t>
      </w:r>
      <w:r>
        <w:rPr>
          <w:rFonts w:hint="eastAsia" w:eastAsia="仿宋_GB2312" w:cs="仿宋_GB2312"/>
          <w:sz w:val="32"/>
          <w:szCs w:val="32"/>
          <w:lang w:val="en" w:eastAsia="zh-CN"/>
        </w:rPr>
        <w:t>万元</w:t>
      </w:r>
      <w:r>
        <w:rPr>
          <w:rFonts w:hint="eastAsia" w:eastAsia="仿宋_GB2312" w:cs="仿宋_GB2312"/>
          <w:sz w:val="32"/>
          <w:szCs w:val="32"/>
        </w:rPr>
        <w:t>，完成预算</w:t>
      </w:r>
      <w:r>
        <w:rPr>
          <w:rFonts w:hint="default" w:eastAsia="仿宋_GB2312" w:cs="仿宋_GB2312"/>
          <w:sz w:val="32"/>
          <w:szCs w:val="32"/>
          <w:lang w:val="en"/>
        </w:rPr>
        <w:t>100</w:t>
      </w:r>
      <w:r>
        <w:rPr>
          <w:rFonts w:hint="eastAsia" w:eastAsia="仿宋_GB2312" w:cs="仿宋_GB2312"/>
          <w:sz w:val="32"/>
          <w:szCs w:val="32"/>
        </w:rPr>
        <w:t>%。其中：</w:t>
      </w:r>
      <w:bookmarkEnd w:id="72"/>
      <w:bookmarkEnd w:id="73"/>
      <w:bookmarkEnd w:id="74"/>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1.社会保障和就业支出（类）行政事业单位养老支出（款）行政单位离退休（项）: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11.74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2</w:t>
      </w:r>
      <w:r>
        <w:rPr>
          <w:rFonts w:hint="eastAsia" w:eastAsia="仿宋_GB2312" w:cs="仿宋_GB2312"/>
          <w:sz w:val="32"/>
          <w:szCs w:val="32"/>
        </w:rPr>
        <w:t>.社会保障和就业支出（类）行政事业单位养老支出（款）机关事业单位基本养老保险缴费支出（项）: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32.78</w:t>
      </w:r>
      <w:r>
        <w:rPr>
          <w:rFonts w:hint="eastAsia" w:eastAsia="仿宋_GB2312" w:cs="仿宋_GB2312"/>
          <w:sz w:val="32"/>
          <w:szCs w:val="32"/>
          <w:lang w:val="en-US" w:eastAsia="zh-CN"/>
        </w:rPr>
        <w:t>万元，完成预算100%，决算数与预算数持平</w:t>
      </w:r>
      <w:r>
        <w:rPr>
          <w:rFonts w:hint="eastAsia" w:eastAsia="仿宋_GB2312" w:cs="仿宋_GB2312"/>
          <w:sz w:val="32"/>
          <w:szCs w:val="32"/>
        </w:rPr>
        <w:t>。</w:t>
      </w:r>
    </w:p>
    <w:p>
      <w:pPr>
        <w:spacing w:line="600" w:lineRule="exact"/>
        <w:ind w:firstLine="640" w:firstLineChars="200"/>
        <w:rPr>
          <w:rFonts w:hint="eastAsia" w:eastAsia="仿宋_GB2312" w:cs="仿宋_GB2312"/>
          <w:sz w:val="32"/>
          <w:szCs w:val="32"/>
        </w:rPr>
      </w:pPr>
      <w:r>
        <w:rPr>
          <w:rFonts w:hint="default" w:eastAsia="仿宋_GB2312" w:cs="仿宋_GB2312"/>
          <w:sz w:val="32"/>
          <w:szCs w:val="32"/>
          <w:lang w:val="en" w:eastAsia="zh-CN"/>
        </w:rPr>
        <w:t>3</w:t>
      </w:r>
      <w:r>
        <w:rPr>
          <w:rFonts w:hint="eastAsia" w:eastAsia="仿宋_GB2312" w:cs="仿宋_GB2312"/>
          <w:sz w:val="32"/>
          <w:szCs w:val="32"/>
        </w:rPr>
        <w:t>.社会保障和就业支出（类）行政事业单位养老支出（款）机关事业单位职业年金缴费支出（项）: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10.72</w:t>
      </w:r>
      <w:r>
        <w:rPr>
          <w:rFonts w:hint="eastAsia" w:eastAsia="仿宋_GB2312" w:cs="仿宋_GB2312"/>
          <w:sz w:val="32"/>
          <w:szCs w:val="32"/>
          <w:lang w:val="en-US" w:eastAsia="zh-CN"/>
        </w:rPr>
        <w:t>万元，完成预算100%，决算数与预算数持平</w:t>
      </w:r>
      <w:r>
        <w:rPr>
          <w:rFonts w:hint="eastAsia" w:eastAsia="仿宋_GB2312" w:cs="仿宋_GB2312"/>
          <w:sz w:val="32"/>
          <w:szCs w:val="32"/>
        </w:rPr>
        <w:t>。</w:t>
      </w:r>
    </w:p>
    <w:p>
      <w:pPr>
        <w:spacing w:line="600" w:lineRule="exact"/>
        <w:ind w:firstLine="640" w:firstLineChars="200"/>
        <w:rPr>
          <w:rFonts w:hint="default" w:eastAsia="仿宋_GB2312" w:cs="仿宋_GB2312"/>
          <w:sz w:val="32"/>
          <w:szCs w:val="32"/>
          <w:lang w:val="en"/>
        </w:rPr>
      </w:pPr>
      <w:r>
        <w:rPr>
          <w:rFonts w:hint="default" w:eastAsia="仿宋_GB2312" w:cs="仿宋_GB2312"/>
          <w:sz w:val="32"/>
          <w:szCs w:val="32"/>
          <w:lang w:val="en"/>
        </w:rPr>
        <w:t>4</w:t>
      </w:r>
      <w:r>
        <w:rPr>
          <w:rFonts w:hint="eastAsia" w:eastAsia="仿宋_GB2312" w:cs="仿宋_GB2312"/>
          <w:sz w:val="32"/>
          <w:szCs w:val="32"/>
        </w:rPr>
        <w:t>.社会保障和就业支出（类）抚恤（款）其他优抚支出（项）: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3</w:t>
      </w:r>
      <w:r>
        <w:rPr>
          <w:rFonts w:hint="eastAsia" w:eastAsia="仿宋_GB2312" w:cs="仿宋_GB2312"/>
          <w:sz w:val="32"/>
          <w:szCs w:val="32"/>
          <w:lang w:val="en-US" w:eastAsia="zh-CN"/>
        </w:rPr>
        <w:t>万元，完成预算100%，决算数与预算数持平</w:t>
      </w:r>
      <w:r>
        <w:rPr>
          <w:rFonts w:hint="eastAsia" w:eastAsia="仿宋_GB2312" w:cs="仿宋_GB2312"/>
          <w:sz w:val="32"/>
          <w:szCs w:val="32"/>
        </w:rPr>
        <w:t>。</w:t>
      </w:r>
    </w:p>
    <w:p>
      <w:pPr>
        <w:spacing w:line="600" w:lineRule="exact"/>
        <w:ind w:firstLine="480" w:firstLineChars="150"/>
        <w:rPr>
          <w:rFonts w:hint="eastAsia" w:eastAsia="仿宋_GB2312" w:cs="仿宋_GB2312"/>
          <w:sz w:val="32"/>
          <w:szCs w:val="32"/>
          <w:lang w:val="en-US" w:eastAsia="zh-CN"/>
        </w:rPr>
      </w:pPr>
      <w:r>
        <w:rPr>
          <w:rFonts w:hint="default" w:eastAsia="仿宋_GB2312" w:cs="仿宋_GB2312"/>
          <w:sz w:val="32"/>
          <w:szCs w:val="32"/>
          <w:lang w:val="en"/>
        </w:rPr>
        <w:t xml:space="preserve"> 5</w:t>
      </w:r>
      <w:r>
        <w:rPr>
          <w:rFonts w:hint="eastAsia" w:eastAsia="仿宋_GB2312" w:cs="仿宋_GB2312"/>
          <w:sz w:val="32"/>
          <w:szCs w:val="32"/>
        </w:rPr>
        <w:t>.社会保障和就业支出（类）退役安置（款）军队转业干部安置（项）: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2,920.06</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eastAsia="zh-CN"/>
        </w:rPr>
        <w:t>6.</w:t>
      </w:r>
      <w:r>
        <w:rPr>
          <w:rFonts w:hint="eastAsia" w:eastAsia="仿宋_GB2312" w:cs="仿宋_GB2312"/>
          <w:sz w:val="32"/>
          <w:szCs w:val="32"/>
          <w:lang w:val="en-US" w:eastAsia="zh-CN"/>
        </w:rPr>
        <w:t>社会保障和就业支出（类）退役安置（款）其他退役安置支出（项）:支出决算为</w:t>
      </w:r>
      <w:r>
        <w:rPr>
          <w:rFonts w:hint="default" w:eastAsia="仿宋_GB2312" w:cs="仿宋_GB2312"/>
          <w:sz w:val="32"/>
          <w:szCs w:val="32"/>
          <w:lang w:val="en" w:eastAsia="zh-CN"/>
        </w:rPr>
        <w:t>10.04</w:t>
      </w:r>
      <w:r>
        <w:rPr>
          <w:rFonts w:hint="eastAsia" w:eastAsia="仿宋_GB2312" w:cs="仿宋_GB2312"/>
          <w:sz w:val="32"/>
          <w:szCs w:val="32"/>
          <w:lang w:val="en-US" w:eastAsia="zh-CN"/>
        </w:rPr>
        <w:t>万元，完成预算100%，决算数与预算数持平。</w:t>
      </w:r>
    </w:p>
    <w:p>
      <w:pPr>
        <w:spacing w:line="600" w:lineRule="exact"/>
        <w:ind w:firstLine="640"/>
        <w:rPr>
          <w:rFonts w:hint="default" w:eastAsia="仿宋_GB2312" w:cs="仿宋_GB2312"/>
          <w:sz w:val="32"/>
          <w:szCs w:val="32"/>
          <w:lang w:val="en" w:eastAsia="zh-CN"/>
        </w:rPr>
      </w:pPr>
      <w:r>
        <w:rPr>
          <w:rFonts w:hint="default" w:eastAsia="仿宋_GB2312" w:cs="仿宋_GB2312"/>
          <w:sz w:val="32"/>
          <w:szCs w:val="32"/>
          <w:lang w:val="en" w:eastAsia="zh-CN"/>
        </w:rPr>
        <w:t>8.</w:t>
      </w:r>
      <w:r>
        <w:rPr>
          <w:rFonts w:hint="eastAsia" w:eastAsia="仿宋_GB2312" w:cs="仿宋_GB2312"/>
          <w:sz w:val="32"/>
          <w:szCs w:val="32"/>
        </w:rPr>
        <w:t>社会保障和就业支出（类）社会福利（款）儿童福利（项）:</w:t>
      </w:r>
      <w:r>
        <w:rPr>
          <w:rFonts w:hint="eastAsia" w:eastAsia="仿宋_GB2312" w:cs="仿宋_GB2312"/>
          <w:sz w:val="32"/>
          <w:szCs w:val="32"/>
          <w:lang w:val="en-US" w:eastAsia="zh-CN"/>
        </w:rPr>
        <w:t>支出决算为0.</w:t>
      </w:r>
      <w:r>
        <w:rPr>
          <w:rFonts w:hint="default" w:eastAsia="仿宋_GB2312" w:cs="仿宋_GB2312"/>
          <w:sz w:val="32"/>
          <w:szCs w:val="32"/>
          <w:lang w:val="en" w:eastAsia="zh-CN"/>
        </w:rPr>
        <w:t>22</w:t>
      </w:r>
      <w:r>
        <w:rPr>
          <w:rFonts w:hint="eastAsia" w:eastAsia="仿宋_GB2312" w:cs="仿宋_GB2312"/>
          <w:sz w:val="32"/>
          <w:szCs w:val="32"/>
          <w:lang w:val="en-US" w:eastAsia="zh-CN"/>
        </w:rPr>
        <w:t>万元，完成预算100%，决算数与预算数持平。</w:t>
      </w:r>
    </w:p>
    <w:p>
      <w:pPr>
        <w:spacing w:line="600" w:lineRule="exact"/>
        <w:ind w:firstLine="640"/>
        <w:rPr>
          <w:rFonts w:hint="default" w:eastAsia="仿宋_GB2312" w:cs="仿宋_GB2312"/>
          <w:sz w:val="32"/>
          <w:szCs w:val="32"/>
          <w:lang w:val="en"/>
        </w:rPr>
      </w:pPr>
      <w:r>
        <w:rPr>
          <w:rFonts w:hint="default" w:eastAsia="仿宋_GB2312" w:cs="仿宋_GB2312"/>
          <w:sz w:val="32"/>
          <w:szCs w:val="32"/>
          <w:lang w:val="en"/>
        </w:rPr>
        <w:t>9</w:t>
      </w:r>
      <w:r>
        <w:rPr>
          <w:rFonts w:hint="eastAsia" w:eastAsia="仿宋_GB2312" w:cs="仿宋_GB2312"/>
          <w:sz w:val="32"/>
          <w:szCs w:val="32"/>
        </w:rPr>
        <w:t>.社会保障和就业支出（类）退役军人管理事务（款）行政运行（项）: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287.57</w:t>
      </w:r>
      <w:r>
        <w:rPr>
          <w:rFonts w:hint="eastAsia" w:eastAsia="仿宋_GB2312" w:cs="仿宋_GB2312"/>
          <w:sz w:val="32"/>
          <w:szCs w:val="32"/>
          <w:lang w:val="en-US" w:eastAsia="zh-CN"/>
        </w:rPr>
        <w:t>万元，完成预算100%，决算数与预算数持平</w:t>
      </w:r>
      <w:r>
        <w:rPr>
          <w:rFonts w:hint="eastAsia" w:eastAsia="仿宋_GB2312" w:cs="仿宋_GB2312"/>
          <w:sz w:val="32"/>
          <w:szCs w:val="32"/>
        </w:rPr>
        <w:t>。</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eastAsia="zh-CN"/>
        </w:rPr>
        <w:t>10.</w:t>
      </w:r>
      <w:r>
        <w:rPr>
          <w:rFonts w:hint="eastAsia" w:eastAsia="仿宋_GB2312" w:cs="仿宋_GB2312"/>
          <w:sz w:val="32"/>
          <w:szCs w:val="32"/>
        </w:rPr>
        <w:t>社会保障和就业支出（类）退役军人管理事务（款）    一般行政管理事务（项）: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3.84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default" w:eastAsia="仿宋_GB2312" w:cs="仿宋_GB2312"/>
          <w:sz w:val="32"/>
          <w:szCs w:val="32"/>
          <w:lang w:val="en" w:eastAsia="zh-CN"/>
        </w:rPr>
        <w:t>11.</w:t>
      </w:r>
      <w:r>
        <w:rPr>
          <w:rFonts w:hint="eastAsia" w:eastAsia="仿宋_GB2312" w:cs="仿宋_GB2312"/>
          <w:sz w:val="32"/>
          <w:szCs w:val="32"/>
        </w:rPr>
        <w:t>社会保障和就业支出（类）退役军人管理事务（款）      拥军优属（项）: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44.72</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default" w:eastAsia="仿宋_GB2312" w:cs="仿宋_GB2312"/>
          <w:sz w:val="32"/>
          <w:szCs w:val="32"/>
          <w:lang w:val="en" w:eastAsia="zh-CN"/>
        </w:rPr>
        <w:t>12.</w:t>
      </w:r>
      <w:r>
        <w:rPr>
          <w:rFonts w:hint="eastAsia" w:eastAsia="仿宋_GB2312" w:cs="仿宋_GB2312"/>
          <w:sz w:val="32"/>
          <w:szCs w:val="32"/>
        </w:rPr>
        <w:t>社会保障和就业支出（类）退役安置（款）其他退役安置支出（项）: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181.69</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default" w:eastAsia="仿宋_GB2312" w:cs="仿宋_GB2312"/>
          <w:sz w:val="32"/>
          <w:szCs w:val="32"/>
          <w:lang w:val="en" w:eastAsia="zh-CN"/>
        </w:rPr>
        <w:t>13.</w:t>
      </w:r>
      <w:r>
        <w:rPr>
          <w:rFonts w:hint="eastAsia" w:eastAsia="仿宋_GB2312" w:cs="仿宋_GB2312"/>
          <w:sz w:val="32"/>
          <w:szCs w:val="32"/>
        </w:rPr>
        <w:t>卫生健康支出（类）行政事业单位医疗（款）行政单位医疗（项）: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17.28</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default" w:eastAsia="仿宋_GB2312" w:cs="仿宋_GB2312"/>
          <w:sz w:val="32"/>
          <w:szCs w:val="32"/>
          <w:lang w:val="en" w:eastAsia="zh-CN"/>
        </w:rPr>
        <w:t>14.</w:t>
      </w:r>
      <w:r>
        <w:rPr>
          <w:rFonts w:hint="eastAsia" w:eastAsia="仿宋_GB2312" w:cs="仿宋_GB2312"/>
          <w:sz w:val="32"/>
          <w:szCs w:val="32"/>
        </w:rPr>
        <w:t>卫生健康支出（类）行政事业单位医疗（款）公务员医疗补助（项）:</w:t>
      </w:r>
      <w:r>
        <w:rPr>
          <w:rFonts w:hint="eastAsia" w:eastAsia="仿宋_GB2312" w:cs="仿宋_GB2312"/>
          <w:sz w:val="32"/>
          <w:szCs w:val="32"/>
          <w:lang w:val="en-US" w:eastAsia="zh-CN"/>
        </w:rPr>
        <w:t>支出决算</w:t>
      </w:r>
      <w:r>
        <w:rPr>
          <w:rFonts w:hint="default" w:eastAsia="仿宋_GB2312" w:cs="仿宋_GB2312"/>
          <w:sz w:val="32"/>
          <w:szCs w:val="32"/>
          <w:lang w:val="en" w:eastAsia="zh-CN"/>
        </w:rPr>
        <w:t>1.75</w:t>
      </w:r>
      <w:r>
        <w:rPr>
          <w:rFonts w:hint="eastAsia" w:eastAsia="仿宋_GB2312" w:cs="仿宋_GB2312"/>
          <w:sz w:val="32"/>
          <w:szCs w:val="32"/>
          <w:lang w:val="en-US" w:eastAsia="zh-CN"/>
        </w:rPr>
        <w:t>万元，完成预算100%，决算数与预算数持平。</w:t>
      </w:r>
    </w:p>
    <w:p>
      <w:pPr>
        <w:spacing w:line="600" w:lineRule="exact"/>
        <w:ind w:firstLine="640"/>
        <w:rPr>
          <w:rFonts w:eastAsia="仿宋_GB2312" w:cs="仿宋_GB2312"/>
          <w:sz w:val="32"/>
          <w:szCs w:val="32"/>
        </w:rPr>
      </w:pPr>
      <w:r>
        <w:rPr>
          <w:rFonts w:hint="default" w:eastAsia="仿宋_GB2312" w:cs="仿宋_GB2312"/>
          <w:sz w:val="32"/>
          <w:szCs w:val="32"/>
          <w:lang w:val="en" w:eastAsia="zh-CN"/>
        </w:rPr>
        <w:t>15.</w:t>
      </w:r>
      <w:r>
        <w:rPr>
          <w:rFonts w:hint="eastAsia" w:eastAsia="仿宋_GB2312" w:cs="仿宋_GB2312"/>
          <w:sz w:val="32"/>
          <w:szCs w:val="32"/>
        </w:rPr>
        <w:t>住房保障支出（类）住房改革支出（款）住房公积金（项）: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26.28</w:t>
      </w:r>
      <w:r>
        <w:rPr>
          <w:rFonts w:hint="eastAsia" w:eastAsia="仿宋_GB2312" w:cs="仿宋_GB2312"/>
          <w:sz w:val="32"/>
          <w:szCs w:val="32"/>
          <w:lang w:val="en-US" w:eastAsia="zh-CN"/>
        </w:rPr>
        <w:t>万元，完成预算100%，决算数与预算数持平。</w:t>
      </w:r>
    </w:p>
    <w:p>
      <w:pPr>
        <w:tabs>
          <w:tab w:val="right" w:pos="8306"/>
        </w:tabs>
        <w:spacing w:line="600" w:lineRule="exact"/>
        <w:ind w:firstLine="640"/>
        <w:outlineLvl w:val="1"/>
        <w:rPr>
          <w:rStyle w:val="29"/>
          <w:rFonts w:ascii="Times New Roman" w:hAnsi="Times New Roman"/>
        </w:rPr>
      </w:pPr>
      <w:bookmarkStart w:id="75" w:name="_Toc15377214"/>
      <w:bookmarkStart w:id="76" w:name="_Toc1016083527_WPSOffice_Level2"/>
      <w:bookmarkStart w:id="77"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75"/>
      <w:bookmarkEnd w:id="76"/>
      <w:bookmarkEnd w:id="77"/>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default" w:eastAsia="仿宋_GB2312" w:cs="仿宋_GB2312"/>
          <w:sz w:val="32"/>
          <w:szCs w:val="32"/>
          <w:lang w:val="en"/>
        </w:rPr>
        <w:t>38.81</w:t>
      </w:r>
      <w:r>
        <w:rPr>
          <w:rFonts w:hint="eastAsia" w:eastAsia="仿宋_GB2312" w:cs="仿宋_GB2312"/>
          <w:sz w:val="32"/>
          <w:szCs w:val="32"/>
        </w:rPr>
        <w:t>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default" w:eastAsia="仿宋_GB2312" w:cs="仿宋_GB2312"/>
          <w:sz w:val="32"/>
          <w:szCs w:val="32"/>
          <w:lang w:val="en"/>
        </w:rPr>
        <w:t>343.84</w:t>
      </w:r>
      <w:r>
        <w:rPr>
          <w:rFonts w:hint="eastAsia" w:eastAsia="仿宋_GB2312" w:cs="仿宋_GB2312"/>
          <w:sz w:val="32"/>
          <w:szCs w:val="32"/>
        </w:rPr>
        <w:t>万元，主要包括：</w:t>
      </w:r>
      <w:r>
        <w:rPr>
          <w:rFonts w:hint="eastAsia" w:ascii="仿宋" w:hAnsi="仿宋" w:eastAsia="仿宋"/>
          <w:color w:val="auto"/>
          <w:sz w:val="32"/>
          <w:szCs w:val="32"/>
          <w:highlight w:val="none"/>
        </w:rPr>
        <w:t>基本工资、津贴补贴、奖金、机关事业单位基本养老保险缴费、</w:t>
      </w:r>
      <w:r>
        <w:rPr>
          <w:rFonts w:hint="eastAsia" w:ascii="仿宋" w:hAnsi="仿宋" w:eastAsia="仿宋"/>
          <w:color w:val="auto"/>
          <w:sz w:val="32"/>
          <w:szCs w:val="32"/>
          <w:highlight w:val="none"/>
          <w:lang w:eastAsia="zh-CN"/>
        </w:rPr>
        <w:t>职业年金缴费</w:t>
      </w:r>
      <w:r>
        <w:rPr>
          <w:rFonts w:hint="eastAsia" w:ascii="仿宋" w:hAnsi="仿宋" w:eastAsia="仿宋"/>
          <w:color w:val="auto"/>
          <w:sz w:val="32"/>
          <w:szCs w:val="32"/>
          <w:highlight w:val="none"/>
        </w:rPr>
        <w:t>、职工基本医疗保险缴费、公务员医疗补助缴费、其他社会保障缴费、其他工资福利支出、生活补助、医疗费补助、奖励金、住房公积金等。</w:t>
      </w:r>
      <w:r>
        <w:rPr>
          <w:rFonts w:ascii="仿宋" w:hAnsi="仿宋" w:eastAsia="仿宋"/>
          <w:color w:val="auto"/>
          <w:sz w:val="32"/>
          <w:szCs w:val="32"/>
          <w:highlight w:val="none"/>
        </w:rPr>
        <w:br w:type="textWrapping"/>
      </w:r>
      <w:r>
        <w:rPr>
          <w:rFonts w:hint="eastAsia" w:eastAsia="仿宋_GB2312" w:cs="仿宋_GB2312"/>
          <w:sz w:val="32"/>
          <w:szCs w:val="32"/>
        </w:rPr>
        <w:t>　　公用经费</w:t>
      </w:r>
      <w:r>
        <w:rPr>
          <w:rFonts w:hint="default" w:eastAsia="仿宋_GB2312" w:cs="仿宋_GB2312"/>
          <w:sz w:val="32"/>
          <w:szCs w:val="32"/>
          <w:lang w:val="en"/>
        </w:rPr>
        <w:t>44.27</w:t>
      </w:r>
      <w:r>
        <w:rPr>
          <w:rFonts w:hint="eastAsia" w:eastAsia="仿宋_GB2312" w:cs="仿宋_GB2312"/>
          <w:sz w:val="32"/>
          <w:szCs w:val="32"/>
        </w:rPr>
        <w:t>万元，主要包括：办公费、印刷费、邮电费、物业管理费、差旅费、维修（护）费、租赁费、会议费、培训费、公务接待费、劳务费、委托业务费、工会经费、福利费、公务用车运行维护费、其他交通费、其他商品和服务支出等。</w:t>
      </w:r>
    </w:p>
    <w:p>
      <w:pPr>
        <w:spacing w:line="600" w:lineRule="exact"/>
        <w:ind w:firstLine="640"/>
        <w:outlineLvl w:val="1"/>
        <w:rPr>
          <w:rStyle w:val="29"/>
          <w:rFonts w:ascii="Times New Roman" w:hAnsi="Times New Roman" w:eastAsia="黑体"/>
          <w:b w:val="0"/>
        </w:rPr>
      </w:pPr>
      <w:bookmarkStart w:id="78" w:name="_Toc15396609"/>
      <w:bookmarkStart w:id="79" w:name="_Toc15377215"/>
      <w:bookmarkStart w:id="80" w:name="_Toc1284433252_WPSOffice_Level2"/>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78"/>
      <w:bookmarkEnd w:id="79"/>
      <w:bookmarkEnd w:id="80"/>
    </w:p>
    <w:p>
      <w:pPr>
        <w:spacing w:line="600" w:lineRule="exact"/>
        <w:ind w:firstLine="642" w:firstLineChars="200"/>
        <w:outlineLvl w:val="2"/>
        <w:rPr>
          <w:rFonts w:eastAsia="楷体_GB2312" w:cs="楷体_GB2312"/>
          <w:b/>
          <w:sz w:val="32"/>
          <w:szCs w:val="32"/>
        </w:rPr>
      </w:pPr>
      <w:bookmarkStart w:id="81" w:name="_Toc15377216"/>
      <w:r>
        <w:rPr>
          <w:rFonts w:hint="eastAsia" w:eastAsia="楷体_GB2312" w:cs="楷体_GB2312"/>
          <w:b/>
          <w:sz w:val="32"/>
          <w:szCs w:val="32"/>
        </w:rPr>
        <w:t>（一）财政拨款“三公”经费支出决算总体情况说明</w:t>
      </w:r>
      <w:bookmarkEnd w:id="81"/>
    </w:p>
    <w:p>
      <w:pPr>
        <w:spacing w:line="600" w:lineRule="exact"/>
        <w:ind w:firstLine="640"/>
        <w:rPr>
          <w:rFonts w:eastAsia="仿宋_GB2312" w:cs="仿宋_GB2312"/>
          <w:sz w:val="32"/>
          <w:szCs w:val="32"/>
        </w:rPr>
      </w:pPr>
      <w:r>
        <w:rPr>
          <w:rFonts w:hint="eastAsia" w:eastAsia="仿宋_GB2312" w:cs="仿宋_GB2312"/>
          <w:sz w:val="32"/>
          <w:szCs w:val="32"/>
        </w:rPr>
        <w:t>2025年度财政拨款“三公”经费支出决算为</w:t>
      </w:r>
      <w:r>
        <w:rPr>
          <w:rFonts w:hint="default" w:eastAsia="仿宋_GB2312" w:cs="仿宋_GB2312"/>
          <w:sz w:val="32"/>
          <w:szCs w:val="32"/>
          <w:lang w:val="en"/>
        </w:rPr>
        <w:t>3.37</w:t>
      </w:r>
      <w:r>
        <w:rPr>
          <w:rFonts w:hint="eastAsia" w:eastAsia="仿宋_GB2312" w:cs="仿宋_GB2312"/>
          <w:sz w:val="32"/>
          <w:szCs w:val="32"/>
        </w:rPr>
        <w:t>万元，完成预算</w:t>
      </w:r>
      <w:r>
        <w:rPr>
          <w:rFonts w:hint="default" w:eastAsia="仿宋_GB2312" w:cs="仿宋_GB2312"/>
          <w:sz w:val="32"/>
          <w:szCs w:val="32"/>
          <w:lang w:val="en"/>
        </w:rPr>
        <w:t>100</w:t>
      </w:r>
      <w:r>
        <w:rPr>
          <w:rFonts w:hint="eastAsia" w:eastAsia="仿宋_GB2312" w:cs="仿宋_GB2312"/>
          <w:sz w:val="32"/>
          <w:szCs w:val="32"/>
        </w:rPr>
        <w:t>%，较上年度减少</w:t>
      </w:r>
      <w:r>
        <w:rPr>
          <w:rFonts w:hint="default" w:eastAsia="仿宋_GB2312" w:cs="仿宋_GB2312"/>
          <w:sz w:val="32"/>
          <w:szCs w:val="32"/>
          <w:lang w:val="en"/>
        </w:rPr>
        <w:t>0.06</w:t>
      </w:r>
      <w:r>
        <w:rPr>
          <w:rFonts w:hint="eastAsia" w:eastAsia="仿宋_GB2312" w:cs="仿宋_GB2312"/>
          <w:sz w:val="32"/>
          <w:szCs w:val="32"/>
        </w:rPr>
        <w:t>万元，下降</w:t>
      </w:r>
      <w:r>
        <w:rPr>
          <w:rFonts w:hint="default" w:eastAsia="仿宋_GB2312" w:cs="仿宋_GB2312"/>
          <w:sz w:val="32"/>
          <w:szCs w:val="32"/>
          <w:lang w:val="en"/>
        </w:rPr>
        <w:t>1.8</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82" w:name="_Toc15377217"/>
      <w:r>
        <w:rPr>
          <w:rFonts w:hint="eastAsia" w:eastAsia="楷体_GB2312" w:cs="楷体_GB2312"/>
          <w:b/>
          <w:sz w:val="32"/>
          <w:szCs w:val="32"/>
        </w:rPr>
        <w:t>（二）财政拨款“三公”经费支出决算具体情况说明</w:t>
      </w:r>
      <w:bookmarkEnd w:id="82"/>
    </w:p>
    <w:p>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default" w:eastAsia="仿宋_GB2312" w:cs="仿宋_GB2312"/>
          <w:sz w:val="32"/>
          <w:szCs w:val="32"/>
          <w:lang w:val="en"/>
        </w:rPr>
        <w:t>0</w:t>
      </w:r>
      <w:r>
        <w:rPr>
          <w:rFonts w:hint="eastAsia" w:eastAsia="仿宋_GB2312" w:cs="仿宋_GB2312"/>
          <w:sz w:val="32"/>
          <w:szCs w:val="32"/>
        </w:rPr>
        <w:t>万元，占</w:t>
      </w:r>
      <w:r>
        <w:rPr>
          <w:rFonts w:hint="default" w:eastAsia="仿宋_GB2312" w:cs="仿宋_GB2312"/>
          <w:sz w:val="32"/>
          <w:szCs w:val="32"/>
          <w:lang w:val="en"/>
        </w:rPr>
        <w:t>0</w:t>
      </w:r>
      <w:r>
        <w:rPr>
          <w:rFonts w:hint="eastAsia" w:eastAsia="仿宋_GB2312" w:cs="仿宋_GB2312"/>
          <w:sz w:val="32"/>
          <w:szCs w:val="32"/>
        </w:rPr>
        <w:t>%；公务用车购置及运行维护费支出决算</w:t>
      </w:r>
      <w:r>
        <w:rPr>
          <w:rFonts w:hint="default" w:eastAsia="仿宋_GB2312" w:cs="仿宋_GB2312"/>
          <w:sz w:val="32"/>
          <w:szCs w:val="32"/>
          <w:highlight w:val="none"/>
          <w:lang w:val="en"/>
        </w:rPr>
        <w:t>2.74</w:t>
      </w:r>
      <w:r>
        <w:rPr>
          <w:rFonts w:hint="eastAsia" w:eastAsia="仿宋_GB2312" w:cs="仿宋_GB2312"/>
          <w:sz w:val="32"/>
          <w:szCs w:val="32"/>
        </w:rPr>
        <w:t>万元，占</w:t>
      </w:r>
      <w:r>
        <w:rPr>
          <w:rFonts w:hint="default" w:eastAsia="仿宋_GB2312" w:cs="仿宋_GB2312"/>
          <w:sz w:val="32"/>
          <w:szCs w:val="32"/>
          <w:lang w:val="en"/>
        </w:rPr>
        <w:t>81.3</w:t>
      </w:r>
      <w:r>
        <w:rPr>
          <w:rFonts w:hint="eastAsia" w:eastAsia="仿宋_GB2312" w:cs="仿宋_GB2312"/>
          <w:sz w:val="32"/>
          <w:szCs w:val="32"/>
        </w:rPr>
        <w:t>%；公务接待费支出决算</w:t>
      </w:r>
      <w:r>
        <w:rPr>
          <w:rFonts w:hint="default" w:eastAsia="仿宋_GB2312" w:cs="仿宋_GB2312"/>
          <w:sz w:val="32"/>
          <w:szCs w:val="32"/>
          <w:lang w:val="en"/>
        </w:rPr>
        <w:t>0.63</w:t>
      </w:r>
      <w:r>
        <w:rPr>
          <w:rFonts w:hint="eastAsia" w:eastAsia="仿宋_GB2312" w:cs="仿宋_GB2312"/>
          <w:sz w:val="32"/>
          <w:szCs w:val="32"/>
        </w:rPr>
        <w:t>万元，占</w:t>
      </w:r>
      <w:r>
        <w:rPr>
          <w:rFonts w:hint="default" w:eastAsia="仿宋_GB2312" w:cs="仿宋_GB2312"/>
          <w:sz w:val="32"/>
          <w:szCs w:val="32"/>
          <w:lang w:val="en"/>
        </w:rPr>
        <w:t>18.7</w:t>
      </w:r>
      <w:r>
        <w:rPr>
          <w:rFonts w:hint="eastAsia" w:eastAsia="仿宋_GB2312" w:cs="仿宋_GB2312"/>
          <w:sz w:val="32"/>
          <w:szCs w:val="32"/>
        </w:rPr>
        <w:t>%。具体情况如下：</w:t>
      </w:r>
    </w:p>
    <w:p>
      <w:pPr>
        <w:pStyle w:val="2"/>
        <w:rPr>
          <w:rFonts w:hint="eastAsia" w:eastAsia="仿宋_GB2312" w:cs="仿宋_GB2312"/>
          <w:sz w:val="32"/>
          <w:szCs w:val="32"/>
        </w:rPr>
      </w:pPr>
      <w:r>
        <w:drawing>
          <wp:anchor distT="0" distB="0" distL="114300" distR="114300" simplePos="0" relativeHeight="251659264" behindDoc="0" locked="0" layoutInCell="1" allowOverlap="1">
            <wp:simplePos x="0" y="0"/>
            <wp:positionH relativeFrom="column">
              <wp:posOffset>184150</wp:posOffset>
            </wp:positionH>
            <wp:positionV relativeFrom="page">
              <wp:posOffset>1861820</wp:posOffset>
            </wp:positionV>
            <wp:extent cx="4833620" cy="3404235"/>
            <wp:effectExtent l="0" t="0" r="5080" b="5715"/>
            <wp:wrapSquare wrapText="bothSides"/>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14"/>
                    <a:stretch>
                      <a:fillRect/>
                    </a:stretch>
                  </pic:blipFill>
                  <pic:spPr>
                    <a:xfrm>
                      <a:off x="0" y="0"/>
                      <a:ext cx="4833620" cy="3404235"/>
                    </a:xfrm>
                    <a:prstGeom prst="rect">
                      <a:avLst/>
                    </a:prstGeom>
                    <a:noFill/>
                    <a:ln>
                      <a:noFill/>
                    </a:ln>
                  </pic:spPr>
                </pic:pic>
              </a:graphicData>
            </a:graphic>
          </wp:anchor>
        </w:drawing>
      </w:r>
      <w:r>
        <w:rPr>
          <w:rFonts w:hint="eastAsia"/>
          <w:lang w:eastAsia="zh-CN"/>
        </w:rPr>
        <w:t>　　</w:t>
      </w:r>
      <w:r>
        <w:rPr>
          <w:rFonts w:hint="eastAsia" w:eastAsia="仿宋_GB2312" w:cs="仿宋_GB2312"/>
          <w:sz w:val="32"/>
          <w:szCs w:val="32"/>
        </w:rPr>
        <w:t>（图7：财政拨款“三公”经费支出结构）（饼状图）</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default" w:eastAsia="仿宋_GB2312" w:cs="仿宋_GB2312"/>
          <w:b/>
          <w:bCs/>
          <w:sz w:val="32"/>
          <w:szCs w:val="32"/>
          <w:lang w:val="en"/>
        </w:rPr>
        <w:t>0</w:t>
      </w:r>
      <w:r>
        <w:rPr>
          <w:rFonts w:hint="eastAsia" w:eastAsia="仿宋_GB2312" w:cs="仿宋_GB2312"/>
          <w:b/>
          <w:bCs/>
          <w:sz w:val="32"/>
          <w:szCs w:val="32"/>
        </w:rPr>
        <w:t>万元，完成预算</w:t>
      </w:r>
      <w:r>
        <w:rPr>
          <w:rFonts w:hint="default" w:eastAsia="仿宋_GB2312" w:cs="仿宋_GB2312"/>
          <w:b/>
          <w:bCs/>
          <w:sz w:val="32"/>
          <w:szCs w:val="32"/>
          <w:lang w:val="e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default" w:eastAsia="仿宋_GB2312" w:cs="仿宋_GB2312"/>
          <w:sz w:val="32"/>
          <w:szCs w:val="32"/>
          <w:lang w:val="en"/>
        </w:rPr>
        <w:t>0</w:t>
      </w:r>
      <w:r>
        <w:rPr>
          <w:rFonts w:hint="eastAsia" w:eastAsia="仿宋_GB2312" w:cs="仿宋_GB2312"/>
          <w:sz w:val="32"/>
          <w:szCs w:val="32"/>
        </w:rPr>
        <w:t>次，出国（境）</w:t>
      </w:r>
      <w:r>
        <w:rPr>
          <w:rFonts w:hint="default" w:eastAsia="仿宋_GB2312" w:cs="仿宋_GB2312"/>
          <w:sz w:val="32"/>
          <w:szCs w:val="32"/>
          <w:lang w:val="en"/>
        </w:rPr>
        <w:t>0</w:t>
      </w:r>
      <w:r>
        <w:rPr>
          <w:rFonts w:hint="eastAsia" w:eastAsia="仿宋_GB2312" w:cs="仿宋_GB2312"/>
          <w:sz w:val="32"/>
          <w:szCs w:val="32"/>
        </w:rPr>
        <w:t>人。</w:t>
      </w:r>
      <w:r>
        <w:rPr>
          <w:rFonts w:hint="eastAsia" w:ascii="仿宋" w:hAnsi="仿宋" w:eastAsia="仿宋"/>
          <w:sz w:val="32"/>
          <w:szCs w:val="32"/>
          <w:lang w:val="en-US" w:eastAsia="zh-CN"/>
        </w:rPr>
        <w:t>因公出国（境）支出决算与202</w:t>
      </w:r>
      <w:r>
        <w:rPr>
          <w:rFonts w:hint="default" w:ascii="仿宋" w:hAnsi="仿宋" w:eastAsia="仿宋"/>
          <w:sz w:val="32"/>
          <w:szCs w:val="32"/>
          <w:lang w:val="en" w:eastAsia="zh-CN"/>
        </w:rPr>
        <w:t>4</w:t>
      </w:r>
      <w:r>
        <w:rPr>
          <w:rFonts w:hint="eastAsia" w:ascii="仿宋" w:hAnsi="仿宋" w:eastAsia="仿宋"/>
          <w:sz w:val="32"/>
          <w:szCs w:val="32"/>
          <w:lang w:val="en-US" w:eastAsia="zh-CN"/>
        </w:rPr>
        <w:t>年决算持平。</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2.公务用车购置及运行维护费支出</w:t>
      </w:r>
      <w:r>
        <w:rPr>
          <w:rFonts w:hint="default" w:eastAsia="仿宋_GB2312" w:cs="仿宋_GB2312"/>
          <w:b/>
          <w:bCs/>
          <w:sz w:val="32"/>
          <w:szCs w:val="32"/>
          <w:lang w:val="en"/>
        </w:rPr>
        <w:t>2.74</w:t>
      </w:r>
      <w:r>
        <w:rPr>
          <w:rFonts w:hint="eastAsia" w:eastAsia="仿宋_GB2312" w:cs="仿宋_GB2312"/>
          <w:b/>
          <w:bCs/>
          <w:sz w:val="32"/>
          <w:szCs w:val="32"/>
        </w:rPr>
        <w:t>万元，完成预算</w:t>
      </w:r>
      <w:r>
        <w:rPr>
          <w:rFonts w:hint="default" w:eastAsia="仿宋_GB2312" w:cs="仿宋_GB2312"/>
          <w:b/>
          <w:bCs/>
          <w:sz w:val="32"/>
          <w:szCs w:val="32"/>
          <w:lang w:val="en"/>
        </w:rPr>
        <w:t>81.3</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default" w:eastAsia="仿宋_GB2312" w:cs="仿宋_GB2312"/>
          <w:sz w:val="32"/>
          <w:szCs w:val="32"/>
          <w:lang w:val="en"/>
        </w:rPr>
        <w:t>0.04</w:t>
      </w:r>
      <w:r>
        <w:rPr>
          <w:rFonts w:hint="eastAsia" w:eastAsia="仿宋_GB2312" w:cs="仿宋_GB2312"/>
          <w:sz w:val="32"/>
          <w:szCs w:val="32"/>
        </w:rPr>
        <w:t>万元，下降</w:t>
      </w:r>
      <w:r>
        <w:rPr>
          <w:rFonts w:hint="default" w:eastAsia="仿宋_GB2312" w:cs="仿宋_GB2312"/>
          <w:sz w:val="32"/>
          <w:szCs w:val="32"/>
          <w:lang w:val="en"/>
        </w:rPr>
        <w:t>1.4</w:t>
      </w:r>
      <w:r>
        <w:rPr>
          <w:rFonts w:hint="eastAsia" w:eastAsia="仿宋_GB2312" w:cs="仿宋_GB2312"/>
          <w:sz w:val="32"/>
          <w:szCs w:val="32"/>
        </w:rPr>
        <w:t>%。主要原因</w:t>
      </w:r>
      <w:r>
        <w:rPr>
          <w:rFonts w:hint="eastAsia" w:eastAsia="仿宋_GB2312" w:cs="仿宋_GB2312"/>
          <w:sz w:val="32"/>
          <w:szCs w:val="32"/>
          <w:lang w:eastAsia="zh-CN"/>
        </w:rPr>
        <w:t>是减少公务用车维修费及燃油费。</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default" w:eastAsia="仿宋_GB2312" w:cs="仿宋_GB2312"/>
          <w:sz w:val="32"/>
          <w:szCs w:val="32"/>
          <w:lang w:val="en"/>
        </w:rPr>
        <w:t>0</w:t>
      </w:r>
      <w:r>
        <w:rPr>
          <w:rFonts w:hint="eastAsia" w:eastAsia="仿宋_GB2312" w:cs="仿宋_GB2312"/>
          <w:sz w:val="32"/>
          <w:szCs w:val="32"/>
        </w:rPr>
        <w:t>万元。全年按规定更新购置公务用车</w:t>
      </w:r>
      <w:r>
        <w:rPr>
          <w:rFonts w:hint="default" w:eastAsia="仿宋_GB2312" w:cs="仿宋_GB2312"/>
          <w:sz w:val="32"/>
          <w:szCs w:val="32"/>
          <w:lang w:val="en"/>
        </w:rPr>
        <w:t>0</w:t>
      </w:r>
      <w:r>
        <w:rPr>
          <w:rFonts w:hint="eastAsia" w:eastAsia="仿宋_GB2312" w:cs="仿宋_GB2312"/>
          <w:sz w:val="32"/>
          <w:szCs w:val="32"/>
        </w:rPr>
        <w:t>辆，其中：轿车</w:t>
      </w:r>
      <w:r>
        <w:rPr>
          <w:rFonts w:hint="default" w:eastAsia="仿宋_GB2312" w:cs="仿宋_GB2312"/>
          <w:sz w:val="32"/>
          <w:szCs w:val="32"/>
          <w:lang w:val="en"/>
        </w:rPr>
        <w:t>0</w:t>
      </w:r>
      <w:r>
        <w:rPr>
          <w:rFonts w:hint="eastAsia" w:eastAsia="仿宋_GB2312" w:cs="仿宋_GB2312"/>
          <w:sz w:val="32"/>
          <w:szCs w:val="32"/>
        </w:rPr>
        <w:t>辆、金额</w:t>
      </w:r>
      <w:r>
        <w:rPr>
          <w:rFonts w:hint="default" w:eastAsia="仿宋_GB2312" w:cs="仿宋_GB2312"/>
          <w:sz w:val="32"/>
          <w:szCs w:val="32"/>
          <w:lang w:val="en"/>
        </w:rPr>
        <w:t>0</w:t>
      </w:r>
      <w:r>
        <w:rPr>
          <w:rFonts w:hint="eastAsia" w:eastAsia="仿宋_GB2312" w:cs="仿宋_GB2312"/>
          <w:sz w:val="32"/>
          <w:szCs w:val="32"/>
        </w:rPr>
        <w:t>万元，越野车</w:t>
      </w:r>
      <w:r>
        <w:rPr>
          <w:rFonts w:hint="default" w:eastAsia="仿宋_GB2312" w:cs="仿宋_GB2312"/>
          <w:sz w:val="32"/>
          <w:szCs w:val="32"/>
          <w:lang w:val="en"/>
        </w:rPr>
        <w:t>0</w:t>
      </w:r>
      <w:r>
        <w:rPr>
          <w:rFonts w:hint="eastAsia" w:eastAsia="仿宋_GB2312" w:cs="仿宋_GB2312"/>
          <w:sz w:val="32"/>
          <w:szCs w:val="32"/>
        </w:rPr>
        <w:t>辆、金额</w:t>
      </w:r>
      <w:r>
        <w:rPr>
          <w:rFonts w:hint="default" w:eastAsia="仿宋_GB2312" w:cs="仿宋_GB2312"/>
          <w:sz w:val="32"/>
          <w:szCs w:val="32"/>
          <w:lang w:val="en"/>
        </w:rPr>
        <w:t>0</w:t>
      </w:r>
      <w:r>
        <w:rPr>
          <w:rFonts w:hint="eastAsia" w:eastAsia="仿宋_GB2312" w:cs="仿宋_GB2312"/>
          <w:sz w:val="32"/>
          <w:szCs w:val="32"/>
        </w:rPr>
        <w:t>万元，载客汽车</w:t>
      </w:r>
      <w:r>
        <w:rPr>
          <w:rFonts w:hint="default" w:eastAsia="仿宋_GB2312" w:cs="仿宋_GB2312"/>
          <w:sz w:val="32"/>
          <w:szCs w:val="32"/>
          <w:lang w:val="en"/>
        </w:rPr>
        <w:t>0</w:t>
      </w:r>
      <w:r>
        <w:rPr>
          <w:rFonts w:hint="eastAsia" w:eastAsia="仿宋_GB2312" w:cs="仿宋_GB2312"/>
          <w:sz w:val="32"/>
          <w:szCs w:val="32"/>
        </w:rPr>
        <w:t>辆、金额</w:t>
      </w:r>
      <w:r>
        <w:rPr>
          <w:rFonts w:hint="default" w:eastAsia="仿宋_GB2312" w:cs="仿宋_GB2312"/>
          <w:sz w:val="32"/>
          <w:szCs w:val="32"/>
          <w:lang w:val="en"/>
        </w:rPr>
        <w:t>0</w:t>
      </w:r>
      <w:r>
        <w:rPr>
          <w:rFonts w:hint="eastAsia" w:eastAsia="仿宋_GB2312" w:cs="仿宋_GB2312"/>
          <w:sz w:val="32"/>
          <w:szCs w:val="32"/>
        </w:rPr>
        <w:t>万元。截至2025年12月31日，单位共有公务用车</w:t>
      </w:r>
      <w:r>
        <w:rPr>
          <w:rFonts w:hint="default" w:eastAsia="仿宋_GB2312" w:cs="仿宋_GB2312"/>
          <w:sz w:val="32"/>
          <w:szCs w:val="32"/>
          <w:lang w:val="en"/>
        </w:rPr>
        <w:t>1</w:t>
      </w:r>
      <w:r>
        <w:rPr>
          <w:rFonts w:hint="eastAsia" w:eastAsia="仿宋_GB2312" w:cs="仿宋_GB2312"/>
          <w:sz w:val="32"/>
          <w:szCs w:val="32"/>
        </w:rPr>
        <w:t>辆，其中：轿车</w:t>
      </w:r>
      <w:r>
        <w:rPr>
          <w:rFonts w:hint="default" w:eastAsia="仿宋_GB2312" w:cs="仿宋_GB2312"/>
          <w:sz w:val="32"/>
          <w:szCs w:val="32"/>
          <w:lang w:val="en"/>
        </w:rPr>
        <w:t>0</w:t>
      </w:r>
      <w:r>
        <w:rPr>
          <w:rFonts w:hint="eastAsia" w:eastAsia="仿宋_GB2312" w:cs="仿宋_GB2312"/>
          <w:sz w:val="32"/>
          <w:szCs w:val="32"/>
        </w:rPr>
        <w:t>辆、越野车</w:t>
      </w:r>
      <w:r>
        <w:rPr>
          <w:rFonts w:hint="default" w:eastAsia="仿宋_GB2312" w:cs="仿宋_GB2312"/>
          <w:sz w:val="32"/>
          <w:szCs w:val="32"/>
          <w:lang w:val="en"/>
        </w:rPr>
        <w:t>1</w:t>
      </w:r>
      <w:r>
        <w:rPr>
          <w:rFonts w:hint="eastAsia" w:eastAsia="仿宋_GB2312" w:cs="仿宋_GB2312"/>
          <w:sz w:val="32"/>
          <w:szCs w:val="32"/>
        </w:rPr>
        <w:t>辆、载客汽车</w:t>
      </w:r>
      <w:r>
        <w:rPr>
          <w:rFonts w:hint="default" w:eastAsia="仿宋_GB2312" w:cs="仿宋_GB2312"/>
          <w:sz w:val="32"/>
          <w:szCs w:val="32"/>
          <w:lang w:val="en"/>
        </w:rPr>
        <w:t>0</w:t>
      </w:r>
      <w:r>
        <w:rPr>
          <w:rFonts w:hint="eastAsia" w:eastAsia="仿宋_GB2312" w:cs="仿宋_GB2312"/>
          <w:sz w:val="32"/>
          <w:szCs w:val="32"/>
        </w:rPr>
        <w:t>辆。</w:t>
      </w:r>
    </w:p>
    <w:p>
      <w:pPr>
        <w:spacing w:line="600" w:lineRule="exact"/>
        <w:ind w:firstLine="640"/>
        <w:rPr>
          <w:rFonts w:hint="eastAsia" w:ascii="仿宋" w:hAnsi="仿宋" w:eastAsia="仿宋"/>
          <w:sz w:val="32"/>
          <w:szCs w:val="32"/>
          <w:lang w:val="en-US" w:eastAsia="zh-CN"/>
        </w:rPr>
      </w:pPr>
      <w:r>
        <w:rPr>
          <w:rFonts w:hint="eastAsia" w:eastAsia="仿宋_GB2312" w:cs="仿宋_GB2312"/>
          <w:sz w:val="32"/>
          <w:szCs w:val="32"/>
        </w:rPr>
        <w:t>公务用车运行维护费支出</w:t>
      </w:r>
      <w:r>
        <w:rPr>
          <w:rFonts w:hint="default" w:eastAsia="仿宋_GB2312" w:cs="仿宋_GB2312"/>
          <w:sz w:val="32"/>
          <w:szCs w:val="32"/>
          <w:highlight w:val="none"/>
          <w:lang w:val="en"/>
        </w:rPr>
        <w:t>2.74</w:t>
      </w:r>
      <w:r>
        <w:rPr>
          <w:rFonts w:hint="eastAsia" w:eastAsia="仿宋_GB2312" w:cs="仿宋_GB2312"/>
          <w:sz w:val="32"/>
          <w:szCs w:val="32"/>
        </w:rPr>
        <w:t>万元。主要用于</w:t>
      </w:r>
      <w:r>
        <w:rPr>
          <w:rFonts w:hint="eastAsia" w:ascii="仿宋" w:hAnsi="仿宋" w:eastAsia="仿宋"/>
          <w:sz w:val="32"/>
          <w:szCs w:val="32"/>
          <w:lang w:val="en-US" w:eastAsia="zh-CN"/>
        </w:rPr>
        <w:t>保障单位正常运转及完成特定工作任务所需的公务用车燃料费、维修费、过路过桥费、保险费等支出。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default" w:eastAsia="仿宋_GB2312" w:cs="仿宋_GB2312"/>
          <w:b/>
          <w:bCs/>
          <w:sz w:val="32"/>
          <w:szCs w:val="32"/>
          <w:lang w:val="en"/>
        </w:rPr>
        <w:t>0.63</w:t>
      </w:r>
      <w:r>
        <w:rPr>
          <w:rFonts w:hint="eastAsia" w:eastAsia="仿宋_GB2312" w:cs="仿宋_GB2312"/>
          <w:b/>
          <w:bCs/>
          <w:sz w:val="32"/>
          <w:szCs w:val="32"/>
        </w:rPr>
        <w:t>万元，完成预算</w:t>
      </w:r>
      <w:r>
        <w:rPr>
          <w:rFonts w:hint="default" w:eastAsia="仿宋_GB2312" w:cs="仿宋_GB2312"/>
          <w:b/>
          <w:bCs/>
          <w:sz w:val="32"/>
          <w:szCs w:val="32"/>
          <w:lang w:val="en"/>
        </w:rPr>
        <w:t>18.7</w:t>
      </w:r>
      <w:r>
        <w:rPr>
          <w:rFonts w:hint="eastAsia" w:eastAsia="仿宋_GB2312" w:cs="仿宋_GB2312"/>
          <w:b/>
          <w:bCs/>
          <w:sz w:val="32"/>
          <w:szCs w:val="32"/>
        </w:rPr>
        <w:t>%。</w:t>
      </w:r>
      <w:r>
        <w:rPr>
          <w:rFonts w:hint="eastAsia" w:eastAsia="仿宋_GB2312" w:cs="仿宋_GB2312"/>
          <w:sz w:val="32"/>
          <w:szCs w:val="32"/>
        </w:rPr>
        <w:t>公务接待费支出决算比上年度减少</w:t>
      </w:r>
      <w:r>
        <w:rPr>
          <w:rFonts w:hint="default" w:eastAsia="仿宋_GB2312" w:cs="仿宋_GB2312"/>
          <w:sz w:val="32"/>
          <w:szCs w:val="32"/>
          <w:lang w:val="en"/>
        </w:rPr>
        <w:t>0.02</w:t>
      </w:r>
      <w:r>
        <w:rPr>
          <w:rFonts w:hint="eastAsia" w:eastAsia="仿宋_GB2312" w:cs="仿宋_GB2312"/>
          <w:sz w:val="32"/>
          <w:szCs w:val="32"/>
        </w:rPr>
        <w:t>万元，下降</w:t>
      </w:r>
      <w:r>
        <w:rPr>
          <w:rFonts w:hint="default" w:eastAsia="仿宋_GB2312" w:cs="仿宋_GB2312"/>
          <w:sz w:val="32"/>
          <w:szCs w:val="32"/>
          <w:lang w:val="en"/>
        </w:rPr>
        <w:t>3.1</w:t>
      </w:r>
      <w:r>
        <w:rPr>
          <w:rFonts w:hint="eastAsia" w:eastAsia="仿宋_GB2312" w:cs="仿宋_GB2312"/>
          <w:sz w:val="32"/>
          <w:szCs w:val="32"/>
        </w:rPr>
        <w:t>%。主要原因是</w:t>
      </w:r>
      <w:r>
        <w:rPr>
          <w:rFonts w:hint="eastAsia" w:ascii="仿宋" w:hAnsi="仿宋" w:eastAsia="仿宋"/>
          <w:sz w:val="32"/>
          <w:szCs w:val="32"/>
          <w:lang w:val="en-US" w:eastAsia="zh-CN"/>
        </w:rPr>
        <w:t>接待人数较上一年有所减少</w:t>
      </w:r>
      <w:r>
        <w:rPr>
          <w:rFonts w:hint="eastAsia" w:eastAsia="仿宋_GB2312" w:cs="仿宋_GB2312"/>
          <w:sz w:val="32"/>
          <w:szCs w:val="32"/>
        </w:rPr>
        <w:t>。其中：</w:t>
      </w:r>
    </w:p>
    <w:p>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default" w:eastAsia="仿宋_GB2312" w:cs="仿宋_GB2312"/>
          <w:sz w:val="32"/>
          <w:szCs w:val="32"/>
          <w:lang w:val="en"/>
        </w:rPr>
        <w:t>0.63</w:t>
      </w:r>
      <w:r>
        <w:rPr>
          <w:rFonts w:hint="eastAsia" w:eastAsia="仿宋_GB2312" w:cs="仿宋_GB2312"/>
          <w:sz w:val="32"/>
          <w:szCs w:val="32"/>
        </w:rPr>
        <w:t>万元，主要用于</w:t>
      </w:r>
      <w:r>
        <w:rPr>
          <w:rFonts w:hint="eastAsia" w:ascii="仿宋" w:hAnsi="仿宋" w:eastAsia="仿宋"/>
          <w:sz w:val="32"/>
          <w:szCs w:val="32"/>
          <w:lang w:val="en-US" w:eastAsia="zh-CN"/>
        </w:rPr>
        <w:t>执行公务、开展业务活动开支的用餐费</w:t>
      </w:r>
      <w:r>
        <w:rPr>
          <w:rFonts w:hint="eastAsia" w:eastAsia="仿宋_GB2312" w:cs="仿宋_GB2312"/>
          <w:sz w:val="32"/>
          <w:szCs w:val="32"/>
        </w:rPr>
        <w:t>。国内公务接待</w:t>
      </w:r>
      <w:r>
        <w:rPr>
          <w:rFonts w:hint="eastAsia" w:eastAsia="仿宋_GB2312" w:cs="仿宋_GB2312"/>
          <w:sz w:val="32"/>
          <w:szCs w:val="32"/>
          <w:lang w:val="en" w:eastAsia="zh-CN"/>
        </w:rPr>
        <w:t>５</w:t>
      </w:r>
      <w:r>
        <w:rPr>
          <w:rFonts w:hint="eastAsia" w:eastAsia="仿宋_GB2312" w:cs="仿宋_GB2312"/>
          <w:sz w:val="32"/>
          <w:szCs w:val="32"/>
        </w:rPr>
        <w:t>批次，</w:t>
      </w:r>
      <w:r>
        <w:rPr>
          <w:rFonts w:hint="default" w:eastAsia="仿宋_GB2312" w:cs="仿宋_GB2312"/>
          <w:sz w:val="32"/>
          <w:szCs w:val="32"/>
          <w:lang w:val="en"/>
        </w:rPr>
        <w:t>23</w:t>
      </w:r>
      <w:r>
        <w:rPr>
          <w:rFonts w:hint="eastAsia" w:eastAsia="仿宋_GB2312" w:cs="仿宋_GB2312"/>
          <w:sz w:val="32"/>
          <w:szCs w:val="32"/>
        </w:rPr>
        <w:t>人次（不包括陪同人员），共计支出</w:t>
      </w:r>
      <w:r>
        <w:rPr>
          <w:rFonts w:hint="default" w:eastAsia="仿宋_GB2312" w:cs="仿宋_GB2312"/>
          <w:sz w:val="32"/>
          <w:szCs w:val="32"/>
          <w:lang w:val="en"/>
        </w:rPr>
        <w:t>0.63</w:t>
      </w:r>
      <w:r>
        <w:rPr>
          <w:rFonts w:hint="eastAsia" w:eastAsia="仿宋_GB2312" w:cs="仿宋_GB2312"/>
          <w:sz w:val="32"/>
          <w:szCs w:val="32"/>
        </w:rPr>
        <w:t>万元，具体内容包括：</w:t>
      </w:r>
      <w:r>
        <w:rPr>
          <w:rFonts w:hint="eastAsia" w:ascii="仿宋" w:hAnsi="仿宋" w:eastAsia="仿宋"/>
          <w:sz w:val="32"/>
          <w:szCs w:val="32"/>
          <w:lang w:val="en-US" w:eastAsia="zh-CN"/>
        </w:rPr>
        <w:t>省厅莅攀开展退役士兵教育培训服务专题调研</w:t>
      </w:r>
      <w:r>
        <w:rPr>
          <w:rFonts w:hint="default" w:eastAsia="仿宋_GB2312" w:cs="仿宋_GB2312"/>
          <w:sz w:val="32"/>
          <w:szCs w:val="32"/>
          <w:lang w:val="en" w:eastAsia="zh-CN"/>
        </w:rPr>
        <w:t>0.11</w:t>
      </w:r>
      <w:r>
        <w:rPr>
          <w:rFonts w:hint="eastAsia" w:ascii="仿宋" w:hAnsi="仿宋" w:eastAsia="仿宋"/>
          <w:sz w:val="32"/>
          <w:szCs w:val="32"/>
          <w:lang w:val="en-US" w:eastAsia="zh-CN"/>
        </w:rPr>
        <w:t>万元；省厅莅攀开展退役军人信访维稳和基层服务中心（站）工作</w:t>
      </w:r>
      <w:r>
        <w:rPr>
          <w:rFonts w:hint="default" w:eastAsia="仿宋_GB2312" w:cs="仿宋_GB2312"/>
          <w:sz w:val="32"/>
          <w:szCs w:val="32"/>
          <w:lang w:val="en" w:eastAsia="zh-CN"/>
        </w:rPr>
        <w:t>0.11</w:t>
      </w:r>
      <w:r>
        <w:rPr>
          <w:rFonts w:hint="eastAsia" w:ascii="仿宋" w:hAnsi="仿宋" w:eastAsia="仿宋"/>
          <w:sz w:val="32"/>
          <w:szCs w:val="32"/>
          <w:lang w:val="en" w:eastAsia="zh-CN"/>
        </w:rPr>
        <w:t>万元；遂宁市退役军人事务局赴攀学习考察</w:t>
      </w:r>
      <w:r>
        <w:rPr>
          <w:rFonts w:hint="default" w:eastAsia="仿宋_GB2312" w:cs="仿宋_GB2312"/>
          <w:sz w:val="32"/>
          <w:szCs w:val="32"/>
          <w:lang w:val="en" w:eastAsia="zh-CN"/>
        </w:rPr>
        <w:t>0.17</w:t>
      </w:r>
      <w:r>
        <w:rPr>
          <w:rFonts w:hint="eastAsia" w:ascii="仿宋" w:hAnsi="仿宋" w:eastAsia="仿宋"/>
          <w:sz w:val="32"/>
          <w:szCs w:val="32"/>
          <w:lang w:val="en" w:eastAsia="zh-CN"/>
        </w:rPr>
        <w:t>万元；省厅莅攀开展退役军人工作实地督查</w:t>
      </w:r>
      <w:r>
        <w:rPr>
          <w:rFonts w:hint="default" w:eastAsia="仿宋_GB2312" w:cs="仿宋_GB2312"/>
          <w:sz w:val="32"/>
          <w:szCs w:val="32"/>
          <w:lang w:val="en" w:eastAsia="zh-CN"/>
        </w:rPr>
        <w:t>0.19</w:t>
      </w:r>
      <w:r>
        <w:rPr>
          <w:rFonts w:hint="eastAsia" w:eastAsia="仿宋_GB2312" w:cs="仿宋_GB2312"/>
          <w:sz w:val="32"/>
          <w:szCs w:val="32"/>
          <w:lang w:val="en" w:eastAsia="zh-CN"/>
        </w:rPr>
        <w:t>万元；</w:t>
      </w:r>
      <w:r>
        <w:rPr>
          <w:rFonts w:hint="eastAsia" w:ascii="仿宋" w:hAnsi="仿宋" w:eastAsia="仿宋"/>
          <w:sz w:val="32"/>
          <w:szCs w:val="32"/>
          <w:lang w:val="en" w:eastAsia="zh-CN"/>
        </w:rPr>
        <w:t>省厅莅攀开展</w:t>
      </w:r>
      <w:r>
        <w:rPr>
          <w:rFonts w:hint="default" w:ascii="仿宋" w:hAnsi="仿宋" w:eastAsia="仿宋"/>
          <w:sz w:val="32"/>
          <w:szCs w:val="32"/>
          <w:lang w:val="en" w:eastAsia="zh-CN"/>
        </w:rPr>
        <w:t>2025</w:t>
      </w:r>
      <w:r>
        <w:rPr>
          <w:rFonts w:hint="eastAsia" w:ascii="仿宋" w:hAnsi="仿宋" w:eastAsia="仿宋"/>
          <w:sz w:val="32"/>
          <w:szCs w:val="32"/>
          <w:lang w:val="en" w:eastAsia="zh-CN"/>
        </w:rPr>
        <w:t>年常态化联系退役军人等工作</w:t>
      </w:r>
      <w:r>
        <w:rPr>
          <w:rFonts w:hint="default" w:eastAsia="仿宋_GB2312" w:cs="仿宋_GB2312"/>
          <w:sz w:val="32"/>
          <w:szCs w:val="32"/>
          <w:lang w:val="en" w:eastAsia="zh-CN"/>
        </w:rPr>
        <w:t>0.05</w:t>
      </w:r>
      <w:r>
        <w:rPr>
          <w:rFonts w:hint="eastAsia" w:eastAsia="仿宋_GB2312" w:cs="仿宋_GB2312"/>
          <w:sz w:val="32"/>
          <w:szCs w:val="32"/>
          <w:lang w:val="en" w:eastAsia="zh-CN"/>
        </w:rPr>
        <w:t>万元。</w:t>
      </w:r>
      <w:r>
        <w:rPr>
          <w:rFonts w:hint="eastAsia" w:eastAsia="仿宋_GB2312" w:cs="仿宋_GB2312"/>
          <w:sz w:val="32"/>
          <w:szCs w:val="32"/>
        </w:rPr>
        <w:t>外事接待支出</w:t>
      </w:r>
      <w:r>
        <w:rPr>
          <w:rFonts w:hint="default" w:eastAsia="仿宋_GB2312" w:cs="仿宋_GB2312"/>
          <w:sz w:val="32"/>
          <w:szCs w:val="32"/>
          <w:lang w:val="en" w:eastAsia="zh-CN"/>
        </w:rPr>
        <w:t>0</w:t>
      </w:r>
      <w:r>
        <w:rPr>
          <w:rFonts w:hint="eastAsia" w:eastAsia="仿宋_GB2312" w:cs="仿宋_GB2312"/>
          <w:sz w:val="32"/>
          <w:szCs w:val="32"/>
        </w:rPr>
        <w:t>万元。外事接待</w:t>
      </w:r>
      <w:r>
        <w:rPr>
          <w:rFonts w:hint="default" w:eastAsia="仿宋_GB2312" w:cs="仿宋_GB2312"/>
          <w:sz w:val="32"/>
          <w:szCs w:val="32"/>
          <w:lang w:val="en" w:eastAsia="zh-CN"/>
        </w:rPr>
        <w:t>0</w:t>
      </w:r>
      <w:r>
        <w:rPr>
          <w:rFonts w:hint="eastAsia" w:eastAsia="仿宋_GB2312" w:cs="仿宋_GB2312"/>
          <w:sz w:val="32"/>
          <w:szCs w:val="32"/>
        </w:rPr>
        <w:t>批次，</w:t>
      </w:r>
      <w:r>
        <w:rPr>
          <w:rFonts w:hint="default" w:eastAsia="仿宋_GB2312" w:cs="仿宋_GB2312"/>
          <w:sz w:val="32"/>
          <w:szCs w:val="32"/>
          <w:lang w:val="en" w:eastAsia="zh-CN"/>
        </w:rPr>
        <w:t>0</w:t>
      </w:r>
      <w:r>
        <w:rPr>
          <w:rFonts w:hint="eastAsia" w:eastAsia="仿宋_GB2312" w:cs="仿宋_GB2312"/>
          <w:sz w:val="32"/>
          <w:szCs w:val="32"/>
        </w:rPr>
        <w:t>人次（不包括陪同人员），共计支出</w:t>
      </w:r>
      <w:r>
        <w:rPr>
          <w:rFonts w:hint="default" w:eastAsia="仿宋_GB2312" w:cs="仿宋_GB2312"/>
          <w:sz w:val="32"/>
          <w:szCs w:val="32"/>
          <w:lang w:val="en" w:eastAsia="zh-CN"/>
        </w:rPr>
        <w:t>0</w:t>
      </w:r>
      <w:r>
        <w:rPr>
          <w:rFonts w:hint="eastAsia" w:eastAsia="仿宋_GB2312" w:cs="仿宋_GB2312"/>
          <w:sz w:val="32"/>
          <w:szCs w:val="32"/>
        </w:rPr>
        <w:t>万元。</w:t>
      </w:r>
      <w:bookmarkStart w:id="83" w:name="_Toc15377218"/>
      <w:bookmarkStart w:id="84" w:name="_Toc15396610"/>
    </w:p>
    <w:p>
      <w:pPr>
        <w:spacing w:line="600" w:lineRule="exact"/>
        <w:ind w:firstLine="640"/>
        <w:outlineLvl w:val="1"/>
        <w:rPr>
          <w:rStyle w:val="29"/>
          <w:rFonts w:ascii="Times New Roman" w:hAnsi="Times New Roman" w:eastAsia="黑体"/>
        </w:rPr>
      </w:pPr>
      <w:bookmarkStart w:id="85" w:name="_Toc264136925_WPSOffice_Level2"/>
      <w:r>
        <w:rPr>
          <w:rFonts w:hint="eastAsia" w:eastAsia="黑体"/>
          <w:sz w:val="32"/>
          <w:szCs w:val="32"/>
        </w:rPr>
        <w:t>八、</w:t>
      </w:r>
      <w:r>
        <w:rPr>
          <w:rStyle w:val="29"/>
          <w:rFonts w:hint="eastAsia" w:ascii="Times New Roman" w:hAnsi="Times New Roman" w:eastAsia="黑体"/>
          <w:b w:val="0"/>
        </w:rPr>
        <w:t>政府性基金预算支出决算情况说明</w:t>
      </w:r>
      <w:bookmarkEnd w:id="83"/>
      <w:bookmarkEnd w:id="84"/>
      <w:bookmarkEnd w:id="85"/>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2025年度政府性基金预算财政拨款支出</w:t>
      </w:r>
      <w:r>
        <w:rPr>
          <w:rFonts w:hint="default" w:eastAsia="仿宋_GB2312" w:cs="仿宋_GB2312"/>
          <w:sz w:val="32"/>
          <w:szCs w:val="32"/>
          <w:lang w:val="en"/>
        </w:rPr>
        <w:t>11.11</w:t>
      </w:r>
      <w:r>
        <w:rPr>
          <w:rFonts w:hint="eastAsia" w:eastAsia="仿宋_GB2312" w:cs="仿宋_GB2312"/>
          <w:sz w:val="32"/>
          <w:szCs w:val="32"/>
        </w:rPr>
        <w:t>万元，占本年支出合计的</w:t>
      </w:r>
      <w:r>
        <w:rPr>
          <w:rFonts w:hint="default" w:eastAsia="仿宋_GB2312" w:cs="仿宋_GB2312"/>
          <w:sz w:val="32"/>
          <w:szCs w:val="32"/>
          <w:lang w:val="en"/>
        </w:rPr>
        <w:t>0.3</w:t>
      </w:r>
      <w:r>
        <w:rPr>
          <w:rFonts w:hint="eastAsia" w:eastAsia="仿宋_GB2312" w:cs="仿宋_GB2312"/>
          <w:sz w:val="32"/>
          <w:szCs w:val="32"/>
        </w:rPr>
        <w:t>%。与上年度相比，政府性基金预算财政拨款支出增加</w:t>
      </w:r>
      <w:r>
        <w:rPr>
          <w:rFonts w:hint="default" w:eastAsia="仿宋_GB2312" w:cs="仿宋_GB2312"/>
          <w:sz w:val="32"/>
          <w:szCs w:val="32"/>
          <w:lang w:val="en"/>
        </w:rPr>
        <w:t>11.11</w:t>
      </w:r>
      <w:r>
        <w:rPr>
          <w:rFonts w:hint="eastAsia" w:eastAsia="仿宋_GB2312" w:cs="仿宋_GB2312"/>
          <w:sz w:val="32"/>
          <w:szCs w:val="32"/>
        </w:rPr>
        <w:t>万元，增长</w:t>
      </w:r>
      <w:r>
        <w:rPr>
          <w:rFonts w:hint="default" w:eastAsia="仿宋_GB2312" w:cs="仿宋_GB2312"/>
          <w:sz w:val="32"/>
          <w:szCs w:val="32"/>
          <w:lang w:val="en"/>
        </w:rPr>
        <w:t>100</w:t>
      </w:r>
      <w:r>
        <w:rPr>
          <w:rFonts w:hint="eastAsia" w:eastAsia="仿宋_GB2312" w:cs="仿宋_GB2312"/>
          <w:sz w:val="32"/>
          <w:szCs w:val="32"/>
        </w:rPr>
        <w:t>%。主要变动原因是</w:t>
      </w:r>
      <w:r>
        <w:rPr>
          <w:rFonts w:hint="eastAsia" w:eastAsia="仿宋_GB2312" w:cs="仿宋_GB2312"/>
          <w:sz w:val="32"/>
          <w:szCs w:val="32"/>
          <w:lang w:eastAsia="zh-CN"/>
        </w:rPr>
        <w:t>用于支付武警攀枝花支队军史文化长廊改造费用。</w:t>
      </w:r>
    </w:p>
    <w:p>
      <w:pPr>
        <w:spacing w:line="600" w:lineRule="exact"/>
        <w:ind w:left="630"/>
        <w:outlineLvl w:val="1"/>
        <w:rPr>
          <w:rStyle w:val="29"/>
          <w:rFonts w:ascii="Times New Roman" w:hAnsi="Times New Roman" w:eastAsia="黑体"/>
          <w:b w:val="0"/>
        </w:rPr>
      </w:pPr>
      <w:bookmarkStart w:id="86" w:name="_Toc15396611"/>
      <w:bookmarkStart w:id="87" w:name="_Toc103654065_WPSOffice_Level2"/>
      <w:bookmarkStart w:id="88" w:name="_Toc15377219"/>
      <w:r>
        <w:rPr>
          <w:rStyle w:val="29"/>
          <w:rFonts w:hint="eastAsia" w:ascii="Times New Roman" w:hAnsi="Times New Roman" w:eastAsia="黑体"/>
          <w:b w:val="0"/>
        </w:rPr>
        <w:t>九、国有资本经营预算支出决算情况说明</w:t>
      </w:r>
      <w:bookmarkEnd w:id="86"/>
      <w:bookmarkEnd w:id="87"/>
      <w:bookmarkEnd w:id="88"/>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2025年度国有资本经营预算财政拨款支出</w:t>
      </w:r>
      <w:r>
        <w:rPr>
          <w:rFonts w:hint="default" w:eastAsia="仿宋_GB2312" w:cs="仿宋_GB2312"/>
          <w:sz w:val="32"/>
          <w:szCs w:val="32"/>
          <w:lang w:val="en"/>
        </w:rPr>
        <w:t>0</w:t>
      </w:r>
      <w:r>
        <w:rPr>
          <w:rFonts w:hint="eastAsia" w:eastAsia="仿宋_GB2312" w:cs="仿宋_GB2312"/>
          <w:sz w:val="32"/>
          <w:szCs w:val="32"/>
        </w:rPr>
        <w:t>万元，占本年支出合计的</w:t>
      </w:r>
      <w:r>
        <w:rPr>
          <w:rFonts w:hint="default" w:eastAsia="仿宋_GB2312" w:cs="仿宋_GB2312"/>
          <w:sz w:val="32"/>
          <w:szCs w:val="32"/>
          <w:lang w:val="en"/>
        </w:rPr>
        <w:t>0</w:t>
      </w:r>
      <w:r>
        <w:rPr>
          <w:rFonts w:hint="eastAsia" w:eastAsia="仿宋_GB2312" w:cs="仿宋_GB2312"/>
          <w:sz w:val="32"/>
          <w:szCs w:val="32"/>
        </w:rPr>
        <w:t>%。与上年度相比，国有资本经营预算财政拨款支出</w:t>
      </w:r>
      <w:r>
        <w:rPr>
          <w:rFonts w:hint="eastAsia" w:eastAsia="仿宋_GB2312" w:cs="仿宋_GB2312"/>
          <w:sz w:val="32"/>
          <w:szCs w:val="32"/>
          <w:lang w:eastAsia="zh-CN"/>
        </w:rPr>
        <w:t>持平。</w:t>
      </w:r>
    </w:p>
    <w:p>
      <w:pPr>
        <w:spacing w:line="600" w:lineRule="exact"/>
        <w:ind w:left="630"/>
        <w:outlineLvl w:val="1"/>
        <w:rPr>
          <w:rStyle w:val="29"/>
          <w:rFonts w:ascii="Times New Roman" w:hAnsi="Times New Roman" w:eastAsia="黑体"/>
          <w:b w:val="0"/>
        </w:rPr>
      </w:pPr>
      <w:bookmarkStart w:id="89" w:name="_Toc15377221"/>
      <w:bookmarkStart w:id="90" w:name="_Toc15396612"/>
      <w:bookmarkStart w:id="91" w:name="_Toc1282556760_WPSOffice_Level2"/>
      <w:r>
        <w:rPr>
          <w:rStyle w:val="29"/>
          <w:rFonts w:hint="eastAsia" w:ascii="Times New Roman" w:hAnsi="Times New Roman" w:eastAsia="黑体"/>
          <w:b w:val="0"/>
        </w:rPr>
        <w:t>十、其他重要事项的情况说明</w:t>
      </w:r>
      <w:bookmarkEnd w:id="89"/>
      <w:bookmarkEnd w:id="90"/>
      <w:bookmarkEnd w:id="91"/>
    </w:p>
    <w:p>
      <w:pPr>
        <w:spacing w:line="600" w:lineRule="exact"/>
        <w:ind w:firstLine="642" w:firstLineChars="200"/>
        <w:outlineLvl w:val="2"/>
        <w:rPr>
          <w:rFonts w:eastAsia="楷体_GB2312" w:cs="楷体_GB2312"/>
          <w:b/>
          <w:sz w:val="32"/>
          <w:szCs w:val="32"/>
        </w:rPr>
      </w:pPr>
      <w:bookmarkStart w:id="92" w:name="_Toc15377222"/>
      <w:r>
        <w:rPr>
          <w:rFonts w:hint="eastAsia" w:eastAsia="楷体_GB2312" w:cs="楷体_GB2312"/>
          <w:b/>
          <w:sz w:val="32"/>
          <w:szCs w:val="32"/>
        </w:rPr>
        <w:t>（一）机关运行经费支出情况</w:t>
      </w:r>
      <w:bookmarkEnd w:id="92"/>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eastAsia="仿宋_GB2312"/>
          <w:color w:val="auto"/>
          <w:sz w:val="32"/>
          <w:szCs w:val="32"/>
          <w:highlight w:val="none"/>
          <w:lang w:eastAsia="zh-CN"/>
        </w:rPr>
        <w:t>市退役军人事务局</w:t>
      </w:r>
      <w:r>
        <w:rPr>
          <w:rFonts w:hint="eastAsia" w:eastAsia="仿宋_GB2312" w:cs="仿宋_GB2312"/>
          <w:sz w:val="32"/>
          <w:szCs w:val="32"/>
        </w:rPr>
        <w:t>机关运行经费支出</w:t>
      </w:r>
      <w:r>
        <w:rPr>
          <w:rFonts w:hint="default" w:eastAsia="仿宋_GB2312" w:cs="仿宋_GB2312"/>
          <w:sz w:val="32"/>
          <w:szCs w:val="32"/>
          <w:lang w:val="en"/>
        </w:rPr>
        <w:t>44.28</w:t>
      </w:r>
      <w:r>
        <w:rPr>
          <w:rFonts w:hint="eastAsia" w:eastAsia="仿宋_GB2312" w:cs="仿宋_GB2312"/>
          <w:sz w:val="32"/>
          <w:szCs w:val="32"/>
        </w:rPr>
        <w:t>万元，比上年度减少</w:t>
      </w:r>
      <w:r>
        <w:rPr>
          <w:rFonts w:hint="default" w:eastAsia="仿宋_GB2312" w:cs="仿宋_GB2312"/>
          <w:sz w:val="32"/>
          <w:szCs w:val="32"/>
          <w:lang w:val="en"/>
        </w:rPr>
        <w:t>2.4</w:t>
      </w:r>
      <w:r>
        <w:rPr>
          <w:rFonts w:hint="eastAsia" w:eastAsia="仿宋_GB2312" w:cs="仿宋_GB2312"/>
          <w:sz w:val="32"/>
          <w:szCs w:val="32"/>
        </w:rPr>
        <w:t>万元，下降</w:t>
      </w:r>
      <w:r>
        <w:rPr>
          <w:rFonts w:hint="default" w:eastAsia="仿宋_GB2312" w:cs="仿宋_GB2312"/>
          <w:sz w:val="32"/>
          <w:szCs w:val="32"/>
          <w:lang w:val="en"/>
        </w:rPr>
        <w:t>5.1</w:t>
      </w:r>
      <w:r>
        <w:rPr>
          <w:rFonts w:hint="eastAsia" w:eastAsia="仿宋_GB2312" w:cs="仿宋_GB2312"/>
          <w:sz w:val="32"/>
          <w:szCs w:val="32"/>
        </w:rPr>
        <w:t>%。主要原因是</w:t>
      </w:r>
      <w:r>
        <w:rPr>
          <w:rFonts w:hint="eastAsia" w:ascii="仿宋_GB2312" w:eastAsia="仿宋_GB2312"/>
          <w:color w:val="auto"/>
          <w:sz w:val="32"/>
          <w:szCs w:val="32"/>
          <w:highlight w:val="none"/>
          <w:lang w:eastAsia="zh-CN"/>
        </w:rPr>
        <w:t>减少办公经费开支。</w:t>
      </w:r>
    </w:p>
    <w:p>
      <w:pPr>
        <w:spacing w:line="600" w:lineRule="exact"/>
        <w:ind w:firstLine="642" w:firstLineChars="200"/>
        <w:outlineLvl w:val="2"/>
        <w:rPr>
          <w:rFonts w:eastAsia="楷体_GB2312" w:cs="楷体_GB2312"/>
          <w:b/>
          <w:sz w:val="32"/>
          <w:szCs w:val="32"/>
        </w:rPr>
      </w:pPr>
      <w:bookmarkStart w:id="93" w:name="_Toc15377223"/>
      <w:r>
        <w:rPr>
          <w:rFonts w:hint="eastAsia" w:eastAsia="楷体_GB2312" w:cs="楷体_GB2312"/>
          <w:b/>
          <w:sz w:val="32"/>
          <w:szCs w:val="32"/>
        </w:rPr>
        <w:t>（二）政府采购支出情况</w:t>
      </w:r>
      <w:bookmarkEnd w:id="93"/>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eastAsia="仿宋_GB2312"/>
          <w:color w:val="auto"/>
          <w:sz w:val="32"/>
          <w:szCs w:val="32"/>
          <w:highlight w:val="none"/>
          <w:lang w:eastAsia="zh-CN"/>
        </w:rPr>
        <w:t>市退役军人事务局</w:t>
      </w:r>
      <w:r>
        <w:rPr>
          <w:rFonts w:hint="eastAsia" w:eastAsia="仿宋_GB2312" w:cs="仿宋_GB2312"/>
          <w:sz w:val="32"/>
          <w:szCs w:val="32"/>
        </w:rPr>
        <w:t>政府采购支出总额</w:t>
      </w:r>
      <w:r>
        <w:rPr>
          <w:rFonts w:hint="default" w:eastAsia="仿宋_GB2312" w:cs="仿宋_GB2312"/>
          <w:sz w:val="32"/>
          <w:szCs w:val="32"/>
          <w:lang w:val="en"/>
        </w:rPr>
        <w:t>1.55</w:t>
      </w:r>
      <w:r>
        <w:rPr>
          <w:rFonts w:hint="eastAsia" w:eastAsia="仿宋_GB2312" w:cs="仿宋_GB2312"/>
          <w:sz w:val="32"/>
          <w:szCs w:val="32"/>
        </w:rPr>
        <w:t>万元，其中：政府采购货物支出</w:t>
      </w:r>
      <w:r>
        <w:rPr>
          <w:rFonts w:hint="default" w:eastAsia="仿宋_GB2312" w:cs="仿宋_GB2312"/>
          <w:sz w:val="32"/>
          <w:szCs w:val="32"/>
          <w:lang w:val="en"/>
        </w:rPr>
        <w:t>0</w:t>
      </w:r>
      <w:r>
        <w:rPr>
          <w:rFonts w:hint="eastAsia" w:eastAsia="仿宋_GB2312" w:cs="仿宋_GB2312"/>
          <w:sz w:val="32"/>
          <w:szCs w:val="32"/>
        </w:rPr>
        <w:t>万元、政府采购工程支出</w:t>
      </w:r>
      <w:r>
        <w:rPr>
          <w:rFonts w:hint="default" w:eastAsia="仿宋_GB2312" w:cs="仿宋_GB2312"/>
          <w:sz w:val="32"/>
          <w:szCs w:val="32"/>
          <w:lang w:val="en"/>
        </w:rPr>
        <w:t>0</w:t>
      </w:r>
      <w:r>
        <w:rPr>
          <w:rFonts w:hint="eastAsia" w:eastAsia="仿宋_GB2312" w:cs="仿宋_GB2312"/>
          <w:sz w:val="32"/>
          <w:szCs w:val="32"/>
        </w:rPr>
        <w:t>万元、政府采购服务支出</w:t>
      </w:r>
      <w:r>
        <w:rPr>
          <w:rFonts w:hint="default" w:eastAsia="仿宋_GB2312" w:cs="仿宋_GB2312"/>
          <w:sz w:val="32"/>
          <w:szCs w:val="32"/>
          <w:lang w:val="en"/>
        </w:rPr>
        <w:t>1.55</w:t>
      </w:r>
      <w:r>
        <w:rPr>
          <w:rFonts w:hint="eastAsia" w:eastAsia="仿宋_GB2312" w:cs="仿宋_GB2312"/>
          <w:sz w:val="32"/>
          <w:szCs w:val="32"/>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eastAsia="zh-CN"/>
        </w:rPr>
        <w:t>公务车燃油、维修、保险等采购</w:t>
      </w:r>
      <w:r>
        <w:rPr>
          <w:rFonts w:hint="eastAsia" w:eastAsia="仿宋_GB2312" w:cs="仿宋_GB2312"/>
          <w:sz w:val="32"/>
          <w:szCs w:val="32"/>
        </w:rPr>
        <w:t>。授予中小企业合同金额</w:t>
      </w:r>
      <w:r>
        <w:rPr>
          <w:rFonts w:hint="default" w:eastAsia="仿宋_GB2312" w:cs="仿宋_GB2312"/>
          <w:sz w:val="32"/>
          <w:szCs w:val="32"/>
          <w:lang w:val="en"/>
        </w:rPr>
        <w:t>1.22</w:t>
      </w:r>
      <w:r>
        <w:rPr>
          <w:rFonts w:hint="eastAsia" w:eastAsia="仿宋_GB2312" w:cs="仿宋_GB2312"/>
          <w:sz w:val="32"/>
          <w:szCs w:val="32"/>
        </w:rPr>
        <w:t>万元，占政府采购支出总额的</w:t>
      </w:r>
      <w:r>
        <w:rPr>
          <w:rFonts w:hint="default" w:eastAsia="仿宋_GB2312" w:cs="仿宋_GB2312"/>
          <w:sz w:val="32"/>
          <w:szCs w:val="32"/>
          <w:lang w:val="en"/>
        </w:rPr>
        <w:t>78.7</w:t>
      </w:r>
      <w:r>
        <w:rPr>
          <w:rFonts w:hint="eastAsia" w:eastAsia="仿宋_GB2312" w:cs="仿宋_GB2312"/>
          <w:sz w:val="32"/>
          <w:szCs w:val="32"/>
        </w:rPr>
        <w:t>%，其中：授予小微企业合同金额</w:t>
      </w:r>
      <w:r>
        <w:rPr>
          <w:rFonts w:hint="default" w:eastAsia="仿宋_GB2312" w:cs="仿宋_GB2312"/>
          <w:sz w:val="32"/>
          <w:szCs w:val="32"/>
          <w:lang w:val="en"/>
        </w:rPr>
        <w:t>1.07</w:t>
      </w:r>
      <w:r>
        <w:rPr>
          <w:rFonts w:hint="eastAsia" w:eastAsia="仿宋_GB2312" w:cs="仿宋_GB2312"/>
          <w:sz w:val="32"/>
          <w:szCs w:val="32"/>
        </w:rPr>
        <w:t>万元，占政府采购支出总额的</w:t>
      </w:r>
      <w:r>
        <w:rPr>
          <w:rFonts w:hint="default" w:eastAsia="仿宋_GB2312" w:cs="仿宋_GB2312"/>
          <w:sz w:val="32"/>
          <w:szCs w:val="32"/>
          <w:lang w:val="en"/>
        </w:rPr>
        <w:t>69</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94" w:name="_Toc15377224"/>
      <w:r>
        <w:rPr>
          <w:rFonts w:hint="eastAsia" w:eastAsia="楷体_GB2312" w:cs="楷体_GB2312"/>
          <w:b/>
          <w:sz w:val="32"/>
          <w:szCs w:val="32"/>
        </w:rPr>
        <w:t>（三）国有资产占有使用情况</w:t>
      </w:r>
      <w:bookmarkEnd w:id="94"/>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ascii="仿宋_GB2312" w:eastAsia="仿宋_GB2312"/>
          <w:color w:val="auto"/>
          <w:sz w:val="32"/>
          <w:szCs w:val="32"/>
          <w:highlight w:val="none"/>
          <w:lang w:eastAsia="zh-CN"/>
        </w:rPr>
        <w:t>市退役军人事务局</w:t>
      </w:r>
      <w:r>
        <w:rPr>
          <w:rFonts w:hint="eastAsia" w:eastAsia="仿宋_GB2312" w:cs="仿宋_GB2312"/>
          <w:sz w:val="32"/>
          <w:szCs w:val="32"/>
        </w:rPr>
        <w:t>共有车辆</w:t>
      </w:r>
      <w:r>
        <w:rPr>
          <w:rFonts w:hint="default" w:eastAsia="仿宋_GB2312" w:cs="仿宋_GB2312"/>
          <w:sz w:val="32"/>
          <w:szCs w:val="32"/>
          <w:lang w:val="en"/>
        </w:rPr>
        <w:t>1</w:t>
      </w:r>
      <w:r>
        <w:rPr>
          <w:rFonts w:hint="eastAsia" w:eastAsia="仿宋_GB2312" w:cs="仿宋_GB2312"/>
          <w:sz w:val="32"/>
          <w:szCs w:val="32"/>
        </w:rPr>
        <w:t>辆，其中：副部（省）级及以上领导用车</w:t>
      </w:r>
      <w:r>
        <w:rPr>
          <w:rFonts w:hint="default" w:eastAsia="仿宋_GB2312" w:cs="仿宋_GB2312"/>
          <w:sz w:val="32"/>
          <w:szCs w:val="32"/>
          <w:lang w:val="en"/>
        </w:rPr>
        <w:t>0</w:t>
      </w:r>
      <w:r>
        <w:rPr>
          <w:rFonts w:hint="eastAsia" w:eastAsia="仿宋_GB2312" w:cs="仿宋_GB2312"/>
          <w:sz w:val="32"/>
          <w:szCs w:val="32"/>
        </w:rPr>
        <w:t>辆、主要负责人用车</w:t>
      </w:r>
      <w:r>
        <w:rPr>
          <w:rFonts w:hint="default" w:eastAsia="仿宋_GB2312" w:cs="仿宋_GB2312"/>
          <w:sz w:val="32"/>
          <w:szCs w:val="32"/>
          <w:lang w:val="e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1</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0</w:t>
      </w:r>
      <w:r>
        <w:rPr>
          <w:rFonts w:hint="eastAsia" w:eastAsia="仿宋_GB2312" w:cs="仿宋_GB2312"/>
          <w:sz w:val="32"/>
          <w:szCs w:val="32"/>
        </w:rPr>
        <w:t>辆。单价100万元（含）以上设备（不含车辆）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pPr>
        <w:spacing w:line="600" w:lineRule="exact"/>
        <w:ind w:firstLine="642" w:firstLineChars="200"/>
        <w:outlineLvl w:val="2"/>
        <w:rPr>
          <w:rFonts w:eastAsia="楷体_GB2312" w:cs="楷体_GB2312"/>
          <w:b/>
          <w:sz w:val="32"/>
          <w:szCs w:val="32"/>
        </w:rPr>
      </w:pPr>
      <w:r>
        <w:rPr>
          <w:rFonts w:hint="eastAsia" w:eastAsia="楷体_GB2312" w:cs="楷体_GB2312"/>
          <w:b/>
          <w:sz w:val="32"/>
          <w:szCs w:val="32"/>
        </w:rPr>
        <w:t>（四）预算绩效管理情况</w:t>
      </w:r>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eastAsia="zh-CN"/>
        </w:rPr>
        <w:t>市退役军人事务局</w:t>
      </w:r>
      <w:r>
        <w:rPr>
          <w:rFonts w:hint="eastAsia" w:eastAsia="仿宋_GB2312" w:cs="仿宋_GB2312"/>
          <w:sz w:val="32"/>
          <w:szCs w:val="32"/>
        </w:rPr>
        <w:t>在2025年度，组织对</w:t>
      </w:r>
      <w:r>
        <w:rPr>
          <w:rFonts w:hint="eastAsia" w:ascii="仿宋" w:hAnsi="仿宋" w:eastAsia="仿宋"/>
          <w:sz w:val="32"/>
          <w:szCs w:val="32"/>
          <w:lang w:val="en-US" w:eastAsia="zh-CN"/>
        </w:rPr>
        <w:t>驻攀部队随军随队配偶自谋职业一次性经济补助及未就业期间生活补助、军分区安保勤务人员经费、 双拥慰问经费等7</w:t>
      </w:r>
      <w:r>
        <w:rPr>
          <w:rFonts w:hint="eastAsia" w:eastAsia="仿宋_GB2312" w:cs="仿宋_GB2312"/>
          <w:sz w:val="32"/>
          <w:szCs w:val="32"/>
        </w:rPr>
        <w:t>个项目涉及金额</w:t>
      </w:r>
      <w:r>
        <w:rPr>
          <w:rFonts w:hint="eastAsia" w:eastAsia="仿宋_GB2312" w:cs="仿宋_GB2312"/>
          <w:sz w:val="32"/>
          <w:szCs w:val="32"/>
          <w:lang w:val="en-US" w:eastAsia="zh-CN"/>
        </w:rPr>
        <w:t>3</w:t>
      </w:r>
      <w:r>
        <w:rPr>
          <w:rFonts w:hint="default" w:eastAsia="仿宋_GB2312" w:cs="仿宋_GB2312"/>
          <w:sz w:val="32"/>
          <w:szCs w:val="32"/>
          <w:lang w:val="en" w:eastAsia="zh-CN"/>
        </w:rPr>
        <w:t>,</w:t>
      </w:r>
      <w:r>
        <w:rPr>
          <w:rFonts w:hint="eastAsia" w:eastAsia="仿宋_GB2312" w:cs="仿宋_GB2312"/>
          <w:sz w:val="32"/>
          <w:szCs w:val="32"/>
          <w:lang w:val="en-US" w:eastAsia="zh-CN"/>
        </w:rPr>
        <w:t>154.63</w:t>
      </w:r>
      <w:r>
        <w:rPr>
          <w:rFonts w:hint="eastAsia" w:eastAsia="仿宋_GB2312" w:cs="仿宋_GB2312"/>
          <w:sz w:val="32"/>
          <w:szCs w:val="32"/>
        </w:rPr>
        <w:t>万元开展了事前绩效评估，对</w:t>
      </w:r>
      <w:r>
        <w:rPr>
          <w:rFonts w:hint="default" w:eastAsia="仿宋_GB2312" w:cs="仿宋_GB2312"/>
          <w:sz w:val="32"/>
          <w:szCs w:val="32"/>
          <w:lang w:val="en"/>
        </w:rPr>
        <w:t>12</w:t>
      </w:r>
      <w:r>
        <w:rPr>
          <w:rFonts w:hint="eastAsia" w:eastAsia="仿宋_GB2312" w:cs="仿宋_GB2312"/>
          <w:sz w:val="32"/>
          <w:szCs w:val="32"/>
        </w:rPr>
        <w:t>个项目编制了绩效目标，预算执行过程中，选取</w:t>
      </w:r>
      <w:r>
        <w:rPr>
          <w:rFonts w:hint="default" w:eastAsia="仿宋_GB2312" w:cs="仿宋_GB2312"/>
          <w:sz w:val="32"/>
          <w:szCs w:val="32"/>
          <w:lang w:val="en"/>
        </w:rPr>
        <w:t>13</w:t>
      </w:r>
      <w:r>
        <w:rPr>
          <w:rFonts w:hint="eastAsia" w:eastAsia="仿宋_GB2312" w:cs="仿宋_GB2312"/>
          <w:sz w:val="32"/>
          <w:szCs w:val="32"/>
        </w:rPr>
        <w:t>个项目开展绩效监控。</w:t>
      </w:r>
    </w:p>
    <w:p>
      <w:pPr>
        <w:pStyle w:val="2"/>
      </w:pPr>
    </w:p>
    <w:p>
      <w:pPr>
        <w:spacing w:line="600" w:lineRule="exact"/>
        <w:jc w:val="center"/>
        <w:outlineLvl w:val="0"/>
        <w:rPr>
          <w:rFonts w:eastAsia="黑体"/>
          <w:sz w:val="44"/>
          <w:szCs w:val="44"/>
        </w:rPr>
      </w:pPr>
      <w:bookmarkStart w:id="95" w:name="_Toc15396613"/>
      <w:bookmarkStart w:id="96" w:name="_Toc7824327_WPSOffice_Level1"/>
      <w:bookmarkStart w:id="97" w:name="_Toc15377225"/>
      <w:r>
        <w:rPr>
          <w:rFonts w:hint="eastAsia" w:eastAsia="黑体"/>
          <w:sz w:val="44"/>
          <w:szCs w:val="44"/>
        </w:rPr>
        <w:t>第三部分  名词解释</w:t>
      </w:r>
      <w:bookmarkEnd w:id="95"/>
      <w:bookmarkEnd w:id="96"/>
      <w:bookmarkEnd w:id="97"/>
    </w:p>
    <w:p>
      <w:pPr>
        <w:spacing w:line="600" w:lineRule="exact"/>
        <w:jc w:val="left"/>
        <w:rPr>
          <w:b/>
          <w:sz w:val="44"/>
          <w:szCs w:val="44"/>
        </w:rPr>
      </w:pPr>
    </w:p>
    <w:p>
      <w:pPr>
        <w:spacing w:line="600" w:lineRule="exact"/>
        <w:ind w:firstLine="640"/>
        <w:rPr>
          <w:rFonts w:hint="eastAsia" w:ascii="仿宋" w:hAnsi="仿宋" w:eastAsia="仿宋"/>
          <w:sz w:val="32"/>
          <w:szCs w:val="32"/>
        </w:rPr>
      </w:pPr>
      <w:bookmarkStart w:id="98" w:name="_Toc15377226"/>
      <w:r>
        <w:rPr>
          <w:rFonts w:hint="eastAsia" w:ascii="仿宋" w:hAnsi="仿宋" w:eastAsia="仿宋"/>
          <w:sz w:val="32"/>
          <w:szCs w:val="32"/>
        </w:rPr>
        <w:t>1.财政拨款收入：指单位从同级财政部门取得的财政预算资金。</w:t>
      </w:r>
    </w:p>
    <w:p>
      <w:pPr>
        <w:spacing w:line="600" w:lineRule="exact"/>
        <w:ind w:firstLine="640"/>
        <w:rPr>
          <w:rFonts w:hint="eastAsia" w:ascii="仿宋" w:hAnsi="仿宋" w:eastAsia="仿宋"/>
          <w:sz w:val="32"/>
          <w:szCs w:val="32"/>
        </w:rPr>
      </w:pPr>
      <w:r>
        <w:rPr>
          <w:rFonts w:hint="eastAsia" w:ascii="仿宋" w:hAnsi="仿宋" w:eastAsia="仿宋"/>
          <w:sz w:val="32"/>
          <w:szCs w:val="32"/>
        </w:rPr>
        <w:t>2.其他收入：指单位取得的除上述收入以外的各项收入。主要是指上级部门划拨的工作经费、利息收入、党建经费。</w:t>
      </w:r>
    </w:p>
    <w:p>
      <w:pPr>
        <w:spacing w:line="600" w:lineRule="exact"/>
        <w:ind w:firstLine="640"/>
        <w:rPr>
          <w:rFonts w:hint="eastAsia" w:ascii="仿宋" w:hAnsi="仿宋" w:eastAsia="仿宋"/>
          <w:sz w:val="32"/>
          <w:szCs w:val="32"/>
        </w:rPr>
      </w:pPr>
      <w:r>
        <w:rPr>
          <w:rFonts w:hint="eastAsia" w:ascii="仿宋" w:hAnsi="仿宋" w:eastAsia="仿宋"/>
          <w:sz w:val="32"/>
          <w:szCs w:val="32"/>
        </w:rPr>
        <w:t>3.年初结转和结余：指以前年度尚未完成、结转到本年按有关规定继续使用的资金。</w:t>
      </w:r>
    </w:p>
    <w:p>
      <w:pPr>
        <w:spacing w:line="600" w:lineRule="exact"/>
        <w:ind w:firstLine="640"/>
        <w:rPr>
          <w:rFonts w:hint="eastAsia" w:ascii="仿宋" w:hAnsi="仿宋" w:eastAsia="仿宋"/>
          <w:sz w:val="32"/>
          <w:szCs w:val="32"/>
        </w:rPr>
      </w:pPr>
      <w:r>
        <w:rPr>
          <w:rFonts w:hint="eastAsia" w:ascii="仿宋" w:hAnsi="仿宋" w:eastAsia="仿宋"/>
          <w:sz w:val="32"/>
          <w:szCs w:val="32"/>
        </w:rPr>
        <w:t>4.年末结转和结余：指单位按有关规定结转到下年或以后年度继续使用的资金。</w:t>
      </w:r>
    </w:p>
    <w:p>
      <w:pPr>
        <w:spacing w:line="600" w:lineRule="exact"/>
        <w:ind w:firstLine="640"/>
        <w:rPr>
          <w:rFonts w:hint="eastAsia" w:ascii="仿宋" w:hAnsi="仿宋" w:eastAsia="仿宋"/>
          <w:sz w:val="32"/>
          <w:szCs w:val="32"/>
        </w:rPr>
      </w:pPr>
      <w:r>
        <w:rPr>
          <w:rFonts w:hint="eastAsia" w:ascii="仿宋" w:hAnsi="仿宋" w:eastAsia="仿宋"/>
          <w:sz w:val="32"/>
          <w:szCs w:val="32"/>
        </w:rPr>
        <w:t>5.社会保障和就业支出（类）行政事业单位离退休（款）  行政单位离退休（项）:反映</w:t>
      </w:r>
      <w:r>
        <w:rPr>
          <w:rFonts w:hint="eastAsia" w:ascii="仿宋" w:hAnsi="仿宋" w:eastAsia="仿宋"/>
          <w:sz w:val="32"/>
          <w:szCs w:val="32"/>
          <w:lang w:eastAsia="zh-CN"/>
        </w:rPr>
        <w:t>行政单位（包括实行公务员管理的事业单位）开支的离退休经费。</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.社会保障和就业支出（类）行政事业单位离退休（款）机关事业单位基本养老保险缴费支出（项）:反映机关事业单位基本养老保险缴费支出。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.社会保障和就业支出（类）退役安置（款）军队转业干部安置（项）:反映军转干部安置、人员经费、自主择业退役金等方面的支出。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.社会保障和就业支出（类）退役安置（款）其他退役安置支出（项）:</w:t>
      </w:r>
      <w:r>
        <w:rPr>
          <w:rFonts w:hint="eastAsia" w:ascii="仿宋" w:hAnsi="仿宋" w:eastAsia="仿宋"/>
          <w:sz w:val="32"/>
          <w:szCs w:val="32"/>
          <w:lang w:eastAsia="zh-CN"/>
        </w:rPr>
        <w:t>反映除上述项目以外其他用于退役安置方面的支出</w:t>
      </w:r>
      <w:r>
        <w:rPr>
          <w:rFonts w:hint="eastAsia" w:ascii="仿宋" w:hAnsi="仿宋" w:eastAsia="仿宋"/>
          <w:sz w:val="32"/>
          <w:szCs w:val="32"/>
        </w:rPr>
        <w:t>。</w:t>
      </w:r>
    </w:p>
    <w:p>
      <w:pPr>
        <w:spacing w:line="600" w:lineRule="exact"/>
        <w:ind w:firstLine="640"/>
        <w:rPr>
          <w:rFonts w:hint="eastAsia" w:ascii="仿宋" w:hAnsi="仿宋" w:eastAsia="仿宋"/>
          <w:sz w:val="32"/>
          <w:szCs w:val="32"/>
          <w:lang w:eastAsia="zh-CN"/>
        </w:rPr>
      </w:pPr>
      <w:r>
        <w:rPr>
          <w:rFonts w:hint="eastAsia" w:ascii="仿宋" w:hAnsi="仿宋" w:eastAsia="仿宋"/>
          <w:sz w:val="32"/>
          <w:szCs w:val="32"/>
          <w:lang w:val="en-US" w:eastAsia="zh-CN"/>
        </w:rPr>
        <w:t>9</w:t>
      </w:r>
      <w:r>
        <w:rPr>
          <w:rFonts w:hint="eastAsia" w:ascii="仿宋" w:hAnsi="仿宋" w:eastAsia="仿宋"/>
          <w:sz w:val="32"/>
          <w:szCs w:val="32"/>
          <w:lang w:eastAsia="zh-CN"/>
        </w:rPr>
        <w:t>.社会保障和就业支出（类）社会福利（款）儿童福利（项）:反映对儿童提供福利服务方面的支出。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10</w:t>
      </w:r>
      <w:r>
        <w:rPr>
          <w:rFonts w:hint="eastAsia" w:ascii="仿宋" w:hAnsi="仿宋" w:eastAsia="仿宋"/>
          <w:sz w:val="32"/>
          <w:szCs w:val="32"/>
        </w:rPr>
        <w:t>.社会保障和就业支出（类）退役军人管理事务（款） 行政运行（项）：反映行政单位(包括实行公务员管理的事业单位)的基本支出。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11</w:t>
      </w:r>
      <w:r>
        <w:rPr>
          <w:rFonts w:hint="eastAsia" w:ascii="仿宋" w:hAnsi="仿宋" w:eastAsia="仿宋"/>
          <w:sz w:val="32"/>
          <w:szCs w:val="32"/>
        </w:rPr>
        <w:t>.社会保障和就业支出（类）退役军人管理事务（款）一般行政管理事务（项）:反映行政单位(包括实行公务员管理的事业单位)未单独设置项级科目的其他项目支出。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12</w:t>
      </w:r>
      <w:r>
        <w:rPr>
          <w:rFonts w:hint="eastAsia" w:ascii="仿宋" w:hAnsi="仿宋" w:eastAsia="仿宋"/>
          <w:sz w:val="32"/>
          <w:szCs w:val="32"/>
        </w:rPr>
        <w:t>.社会保障和就业支出（类）退役军人管理事务（款）拥军优属（项）:反映开展拥军优属活动的支出。</w:t>
      </w:r>
    </w:p>
    <w:p>
      <w:pPr>
        <w:spacing w:line="600" w:lineRule="exact"/>
        <w:ind w:firstLine="640"/>
        <w:rPr>
          <w:rFonts w:hint="eastAsia" w:ascii="仿宋" w:hAnsi="仿宋" w:eastAsia="仿宋" w:cs="Times New Roman"/>
          <w:kern w:val="2"/>
          <w:sz w:val="32"/>
          <w:szCs w:val="32"/>
          <w:lang w:val="en-US" w:eastAsia="zh-CN" w:bidi="ar-SA"/>
        </w:rPr>
      </w:pPr>
      <w:r>
        <w:rPr>
          <w:rFonts w:hint="eastAsia" w:ascii="仿宋" w:hAnsi="仿宋" w:eastAsia="仿宋"/>
          <w:sz w:val="32"/>
          <w:szCs w:val="32"/>
        </w:rPr>
        <w:t>1</w:t>
      </w:r>
      <w:r>
        <w:rPr>
          <w:rFonts w:hint="eastAsia" w:ascii="仿宋" w:hAnsi="仿宋" w:eastAsia="仿宋"/>
          <w:sz w:val="32"/>
          <w:szCs w:val="32"/>
          <w:lang w:val="en-US" w:eastAsia="zh-CN"/>
        </w:rPr>
        <w:t>3</w:t>
      </w:r>
      <w:r>
        <w:rPr>
          <w:rFonts w:hint="eastAsia" w:ascii="仿宋" w:hAnsi="仿宋" w:eastAsia="仿宋"/>
          <w:sz w:val="32"/>
          <w:szCs w:val="32"/>
        </w:rPr>
        <w:t>.社会保障和就业支出（类）退役军人管理事务（款）其他退役军人事务管理支出（项）:反映除上述行政运行、一般行政管理事务、机关服务、拥军优属、部队供应、事业运行以外其他用于退役军人事务管理方面的支出。</w:t>
      </w:r>
    </w:p>
    <w:p>
      <w:pPr>
        <w:spacing w:line="60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4</w:t>
      </w:r>
      <w:r>
        <w:rPr>
          <w:rFonts w:hint="eastAsia" w:ascii="仿宋" w:hAnsi="仿宋" w:eastAsia="仿宋"/>
          <w:sz w:val="32"/>
          <w:szCs w:val="32"/>
        </w:rPr>
        <w:t>.社会保障和就业支出（类）其他社会保障和就业支出（款）其他社会保障和就业支出（项）:反映除财政代缴社会保险费支出、财政代缴城乡居民基本养老保险费支出、财政代缴其他社会保险费支出以外其他用于社会保障和就业方面的支出。</w:t>
      </w:r>
    </w:p>
    <w:p>
      <w:pPr>
        <w:spacing w:line="600" w:lineRule="exact"/>
        <w:ind w:firstLine="640"/>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lang w:val="en-US" w:eastAsia="zh-CN"/>
        </w:rPr>
        <w:t>5</w:t>
      </w:r>
      <w:r>
        <w:rPr>
          <w:rFonts w:hint="eastAsia" w:ascii="仿宋" w:hAnsi="仿宋" w:eastAsia="仿宋"/>
          <w:sz w:val="32"/>
          <w:szCs w:val="32"/>
        </w:rPr>
        <w:t>.住房保障支出（类）住房改革支出（款） 住房公积金（项）:反映行政事业单位用财政拨款资金和其他资金等安排的住房改革支出。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16</w:t>
      </w:r>
      <w:r>
        <w:rPr>
          <w:rFonts w:hint="eastAsia" w:ascii="仿宋" w:hAnsi="仿宋" w:eastAsia="仿宋"/>
          <w:sz w:val="32"/>
          <w:szCs w:val="32"/>
        </w:rPr>
        <w:t>.基本支出：指为保障机构正常运转、完成日常工作任务而发生的人员支出和公用支出。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17</w:t>
      </w:r>
      <w:r>
        <w:rPr>
          <w:rFonts w:hint="eastAsia" w:ascii="仿宋" w:hAnsi="仿宋" w:eastAsia="仿宋"/>
          <w:sz w:val="32"/>
          <w:szCs w:val="32"/>
        </w:rPr>
        <w:t xml:space="preserve">.项目支出：指在基本支出之外为完成特定行政任务和事业发展目标所发生的支出。 </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18</w:t>
      </w:r>
      <w:r>
        <w:rPr>
          <w:rFonts w:hint="eastAsia" w:ascii="仿宋" w:hAnsi="仿宋" w:eastAsia="仿宋"/>
          <w:sz w:val="32"/>
          <w:szCs w:val="32"/>
        </w:rPr>
        <w:t>.经营支出：指事业单位在专业业务活动及其辅助活动之外开展非独立核算经营活动发生的支出。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19</w:t>
      </w:r>
      <w:r>
        <w:rPr>
          <w:rFonts w:hint="eastAsia" w:ascii="仿宋" w:hAnsi="仿宋" w:eastAsia="仿宋"/>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 w:hAnsi="仿宋" w:eastAsia="仿宋"/>
          <w:sz w:val="32"/>
          <w:szCs w:val="32"/>
        </w:rPr>
      </w:pPr>
      <w:r>
        <w:rPr>
          <w:rFonts w:hint="eastAsia" w:ascii="仿宋" w:hAnsi="仿宋" w:eastAsia="仿宋"/>
          <w:sz w:val="32"/>
          <w:szCs w:val="32"/>
          <w:lang w:val="en-US" w:eastAsia="zh-CN"/>
        </w:rPr>
        <w:t>20</w:t>
      </w:r>
      <w:r>
        <w:rPr>
          <w:rFonts w:hint="eastAsia" w:ascii="仿宋" w:hAnsi="仿宋"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eastAsia="黑体"/>
          <w:b w:val="0"/>
        </w:rPr>
      </w:pPr>
      <w:r>
        <w:rPr>
          <w:rFonts w:hint="eastAsia" w:eastAsia="仿宋_GB2312" w:cs="仿宋_GB2312"/>
          <w:sz w:val="32"/>
          <w:szCs w:val="32"/>
        </w:rPr>
        <w:br w:type="page"/>
      </w:r>
      <w:bookmarkStart w:id="99" w:name="_Toc15396614"/>
      <w:bookmarkStart w:id="100" w:name="_Toc645985918_WPSOffice_Level1"/>
      <w:r>
        <w:rPr>
          <w:rFonts w:hint="eastAsia" w:eastAsia="黑体"/>
          <w:sz w:val="44"/>
          <w:szCs w:val="44"/>
        </w:rPr>
        <w:t>第四部分  附件</w:t>
      </w:r>
      <w:bookmarkEnd w:id="99"/>
      <w:bookmarkEnd w:id="100"/>
    </w:p>
    <w:p>
      <w:pPr>
        <w:pStyle w:val="7"/>
        <w:spacing w:line="560" w:lineRule="exact"/>
        <w:ind w:left="0" w:leftChars="0" w:firstLine="643"/>
        <w:rPr>
          <w:rFonts w:hint="eastAsia" w:ascii="Times New Roman" w:eastAsia="仿宋_GB2312" w:cs="仿宋_GB2312"/>
          <w:b/>
          <w:kern w:val="0"/>
          <w:sz w:val="32"/>
        </w:rPr>
      </w:pPr>
    </w:p>
    <w:p>
      <w:pPr>
        <w:spacing w:line="572" w:lineRule="exact"/>
        <w:jc w:val="left"/>
        <w:outlineLvl w:val="0"/>
        <w:rPr>
          <w:rFonts w:eastAsia="黑体" w:cs="黑体"/>
          <w:color w:val="FF0000"/>
          <w:sz w:val="32"/>
          <w:szCs w:val="32"/>
        </w:rPr>
      </w:pPr>
      <w:r>
        <w:rPr>
          <w:rFonts w:hint="eastAsia" w:ascii="Times New Roman" w:hAnsi="Times New Roman" w:eastAsia="仿宋" w:cs="Times New Roman"/>
          <w:kern w:val="2"/>
          <w:sz w:val="32"/>
          <w:szCs w:val="32"/>
          <w:lang w:val="en-US" w:eastAsia="zh-CN" w:bidi="ar-SA"/>
        </w:rPr>
        <w:t>部门预算项目支出绩效自评表（202</w:t>
      </w:r>
      <w:r>
        <w:rPr>
          <w:rFonts w:hint="eastAsia" w:ascii="Times New Roman" w:eastAsia="仿宋" w:cs="Times New Roman"/>
          <w:kern w:val="2"/>
          <w:sz w:val="32"/>
          <w:szCs w:val="32"/>
          <w:lang w:val="en-US" w:eastAsia="zh-CN" w:bidi="ar-SA"/>
        </w:rPr>
        <w:t>5</w:t>
      </w:r>
      <w:r>
        <w:rPr>
          <w:rFonts w:hint="eastAsia" w:ascii="Times New Roman" w:hAnsi="Times New Roman" w:eastAsia="仿宋" w:cs="Times New Roman"/>
          <w:kern w:val="2"/>
          <w:sz w:val="32"/>
          <w:szCs w:val="32"/>
          <w:lang w:val="en-US" w:eastAsia="zh-CN" w:bidi="ar-SA"/>
        </w:rPr>
        <w:t>年度）见附件</w:t>
      </w:r>
    </w:p>
    <w:p>
      <w:pPr>
        <w:pStyle w:val="13"/>
      </w:pPr>
    </w:p>
    <w:p>
      <w:pPr>
        <w:widowControl/>
        <w:jc w:val="center"/>
        <w:rPr>
          <w:rFonts w:hint="eastAsia" w:eastAsia="黑体"/>
          <w:sz w:val="44"/>
          <w:szCs w:val="44"/>
        </w:rPr>
      </w:pPr>
      <w:bookmarkStart w:id="101" w:name="_Toc15396618"/>
      <w:bookmarkStart w:id="102" w:name="_Toc1263255641_WPSOffice_Level1"/>
    </w:p>
    <w:p>
      <w:pPr>
        <w:widowControl/>
        <w:jc w:val="center"/>
        <w:rPr>
          <w:rFonts w:eastAsia="仿宋"/>
        </w:rPr>
      </w:pPr>
      <w:r>
        <w:rPr>
          <w:rFonts w:hint="eastAsia" w:eastAsia="黑体"/>
          <w:sz w:val="44"/>
          <w:szCs w:val="44"/>
        </w:rPr>
        <w:t>第</w:t>
      </w:r>
      <w:r>
        <w:rPr>
          <w:rStyle w:val="28"/>
          <w:rFonts w:hint="eastAsia" w:eastAsia="黑体"/>
          <w:b w:val="0"/>
        </w:rPr>
        <w:t>五部分 附表</w:t>
      </w:r>
      <w:bookmarkEnd w:id="98"/>
      <w:bookmarkEnd w:id="101"/>
      <w:bookmarkEnd w:id="102"/>
      <w:bookmarkStart w:id="103"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bookmarkStart w:id="104" w:name="_Toc668753705_WPSOffice_Level2"/>
      <w:r>
        <w:rPr>
          <w:rFonts w:hint="eastAsia" w:eastAsia="仿宋_GB2312" w:cs="仿宋_GB2312"/>
          <w:sz w:val="32"/>
          <w:szCs w:val="32"/>
        </w:rPr>
        <w:t>一、收入支出决算总表</w:t>
      </w:r>
      <w:bookmarkEnd w:id="103"/>
      <w:bookmarkEnd w:id="104"/>
    </w:p>
    <w:p>
      <w:pPr>
        <w:pStyle w:val="14"/>
        <w:adjustRightInd w:val="0"/>
        <w:snapToGrid w:val="0"/>
        <w:spacing w:line="560" w:lineRule="exact"/>
        <w:jc w:val="left"/>
        <w:rPr>
          <w:rFonts w:eastAsia="仿宋_GB2312" w:cs="仿宋_GB2312"/>
          <w:sz w:val="32"/>
          <w:szCs w:val="32"/>
        </w:rPr>
      </w:pPr>
      <w:bookmarkStart w:id="105" w:name="_Toc15396620"/>
      <w:bookmarkStart w:id="106" w:name="_Toc405325372_WPSOffice_Level2"/>
      <w:r>
        <w:rPr>
          <w:rFonts w:hint="eastAsia" w:eastAsia="仿宋_GB2312" w:cs="仿宋_GB2312"/>
          <w:sz w:val="32"/>
          <w:szCs w:val="32"/>
        </w:rPr>
        <w:t>二、收入决算表</w:t>
      </w:r>
      <w:bookmarkEnd w:id="105"/>
      <w:bookmarkEnd w:id="106"/>
    </w:p>
    <w:p>
      <w:pPr>
        <w:pStyle w:val="14"/>
        <w:adjustRightInd w:val="0"/>
        <w:snapToGrid w:val="0"/>
        <w:spacing w:line="560" w:lineRule="exact"/>
        <w:jc w:val="left"/>
        <w:rPr>
          <w:rFonts w:eastAsia="仿宋_GB2312" w:cs="仿宋_GB2312"/>
          <w:sz w:val="32"/>
          <w:szCs w:val="32"/>
        </w:rPr>
      </w:pPr>
      <w:bookmarkStart w:id="107" w:name="_Toc15396621"/>
      <w:bookmarkStart w:id="108" w:name="_Toc1349842061_WPSOffice_Level2"/>
      <w:r>
        <w:rPr>
          <w:rFonts w:hint="eastAsia" w:eastAsia="仿宋_GB2312" w:cs="仿宋_GB2312"/>
          <w:sz w:val="32"/>
          <w:szCs w:val="32"/>
        </w:rPr>
        <w:t>三、支出决算表</w:t>
      </w:r>
      <w:bookmarkEnd w:id="107"/>
      <w:bookmarkEnd w:id="108"/>
    </w:p>
    <w:p>
      <w:pPr>
        <w:pStyle w:val="14"/>
        <w:adjustRightInd w:val="0"/>
        <w:snapToGrid w:val="0"/>
        <w:spacing w:line="560" w:lineRule="exact"/>
        <w:jc w:val="left"/>
        <w:rPr>
          <w:rFonts w:eastAsia="仿宋_GB2312" w:cs="仿宋_GB2312"/>
          <w:sz w:val="32"/>
          <w:szCs w:val="32"/>
        </w:rPr>
      </w:pPr>
      <w:bookmarkStart w:id="109" w:name="_Toc1646126577_WPSOffice_Level2"/>
      <w:bookmarkStart w:id="110" w:name="_Toc15396622"/>
      <w:r>
        <w:rPr>
          <w:rFonts w:hint="eastAsia" w:eastAsia="仿宋_GB2312" w:cs="仿宋_GB2312"/>
          <w:sz w:val="32"/>
          <w:szCs w:val="32"/>
        </w:rPr>
        <w:t>四、财政拨款收入支出决算总表</w:t>
      </w:r>
      <w:bookmarkEnd w:id="109"/>
      <w:bookmarkEnd w:id="110"/>
    </w:p>
    <w:p>
      <w:pPr>
        <w:pStyle w:val="14"/>
        <w:adjustRightInd w:val="0"/>
        <w:snapToGrid w:val="0"/>
        <w:spacing w:line="560" w:lineRule="exact"/>
        <w:jc w:val="left"/>
        <w:rPr>
          <w:rFonts w:eastAsia="仿宋_GB2312" w:cs="仿宋_GB2312"/>
          <w:sz w:val="32"/>
          <w:szCs w:val="32"/>
        </w:rPr>
      </w:pPr>
      <w:bookmarkStart w:id="111" w:name="_Toc1812244405_WPSOffice_Level2"/>
      <w:bookmarkStart w:id="112" w:name="_Toc15396623"/>
      <w:r>
        <w:rPr>
          <w:rFonts w:hint="eastAsia" w:eastAsia="仿宋_GB2312" w:cs="仿宋_GB2312"/>
          <w:sz w:val="32"/>
          <w:szCs w:val="32"/>
        </w:rPr>
        <w:t>五、财政拨款支出决算明细表</w:t>
      </w:r>
      <w:bookmarkEnd w:id="111"/>
      <w:bookmarkEnd w:id="112"/>
      <w:bookmarkStart w:id="113" w:name="_Toc15396624"/>
    </w:p>
    <w:p>
      <w:pPr>
        <w:pStyle w:val="14"/>
        <w:adjustRightInd w:val="0"/>
        <w:snapToGrid w:val="0"/>
        <w:spacing w:line="560" w:lineRule="exact"/>
        <w:jc w:val="left"/>
        <w:rPr>
          <w:rFonts w:eastAsia="仿宋_GB2312" w:cs="仿宋_GB2312"/>
          <w:sz w:val="32"/>
          <w:szCs w:val="32"/>
        </w:rPr>
      </w:pPr>
      <w:bookmarkStart w:id="114" w:name="_Toc2001277772_WPSOffice_Level2"/>
      <w:r>
        <w:rPr>
          <w:rFonts w:hint="eastAsia" w:eastAsia="仿宋_GB2312" w:cs="仿宋_GB2312"/>
          <w:sz w:val="32"/>
          <w:szCs w:val="32"/>
        </w:rPr>
        <w:t>六、一般公共预算财政拨款支出决算表</w:t>
      </w:r>
      <w:bookmarkEnd w:id="113"/>
      <w:bookmarkEnd w:id="114"/>
    </w:p>
    <w:p>
      <w:pPr>
        <w:pStyle w:val="14"/>
        <w:adjustRightInd w:val="0"/>
        <w:snapToGrid w:val="0"/>
        <w:spacing w:line="560" w:lineRule="exact"/>
        <w:jc w:val="left"/>
        <w:rPr>
          <w:rFonts w:eastAsia="仿宋_GB2312" w:cs="仿宋_GB2312"/>
          <w:sz w:val="32"/>
          <w:szCs w:val="32"/>
        </w:rPr>
      </w:pPr>
      <w:bookmarkStart w:id="115" w:name="_Toc15396625"/>
      <w:bookmarkStart w:id="116" w:name="_Toc1701285004_WPSOffice_Level2"/>
      <w:r>
        <w:rPr>
          <w:rFonts w:hint="eastAsia" w:eastAsia="仿宋_GB2312" w:cs="仿宋_GB2312"/>
          <w:sz w:val="32"/>
          <w:szCs w:val="32"/>
        </w:rPr>
        <w:t>七、一般公共预算财政拨款支出决算明细表</w:t>
      </w:r>
      <w:bookmarkEnd w:id="115"/>
      <w:bookmarkEnd w:id="116"/>
    </w:p>
    <w:p>
      <w:pPr>
        <w:pStyle w:val="14"/>
        <w:adjustRightInd w:val="0"/>
        <w:snapToGrid w:val="0"/>
        <w:spacing w:line="560" w:lineRule="exact"/>
        <w:jc w:val="left"/>
        <w:rPr>
          <w:rFonts w:eastAsia="仿宋_GB2312" w:cs="仿宋_GB2312"/>
          <w:sz w:val="32"/>
          <w:szCs w:val="32"/>
        </w:rPr>
      </w:pPr>
      <w:bookmarkStart w:id="117" w:name="_Toc94594078_WPSOffice_Level2"/>
      <w:bookmarkStart w:id="118" w:name="_Toc15396626"/>
      <w:r>
        <w:rPr>
          <w:rFonts w:hint="eastAsia" w:eastAsia="仿宋_GB2312" w:cs="仿宋_GB2312"/>
          <w:sz w:val="32"/>
          <w:szCs w:val="32"/>
        </w:rPr>
        <w:t>八、一般公共预算财政拨款基本支出决算表</w:t>
      </w:r>
      <w:bookmarkEnd w:id="117"/>
      <w:bookmarkEnd w:id="118"/>
    </w:p>
    <w:p>
      <w:pPr>
        <w:pStyle w:val="14"/>
        <w:adjustRightInd w:val="0"/>
        <w:snapToGrid w:val="0"/>
        <w:spacing w:line="560" w:lineRule="exact"/>
        <w:jc w:val="left"/>
        <w:rPr>
          <w:rFonts w:eastAsia="仿宋_GB2312" w:cs="仿宋_GB2312"/>
          <w:sz w:val="32"/>
          <w:szCs w:val="32"/>
        </w:rPr>
      </w:pPr>
      <w:bookmarkStart w:id="119" w:name="_Toc1041498700_WPSOffice_Level2"/>
      <w:bookmarkStart w:id="120" w:name="_Toc15396627"/>
      <w:r>
        <w:rPr>
          <w:rFonts w:hint="eastAsia" w:eastAsia="仿宋_GB2312" w:cs="仿宋_GB2312"/>
          <w:sz w:val="32"/>
          <w:szCs w:val="32"/>
        </w:rPr>
        <w:t>九、一般公共预算财政拨款项目支出决算表</w:t>
      </w:r>
      <w:bookmarkEnd w:id="119"/>
      <w:bookmarkEnd w:id="120"/>
    </w:p>
    <w:p>
      <w:pPr>
        <w:pStyle w:val="14"/>
        <w:adjustRightInd w:val="0"/>
        <w:snapToGrid w:val="0"/>
        <w:spacing w:line="560" w:lineRule="exact"/>
        <w:jc w:val="left"/>
        <w:rPr>
          <w:rFonts w:eastAsia="仿宋_GB2312" w:cs="仿宋_GB2312"/>
          <w:sz w:val="32"/>
          <w:szCs w:val="32"/>
        </w:rPr>
      </w:pPr>
      <w:bookmarkStart w:id="121" w:name="_Toc15396628"/>
      <w:bookmarkStart w:id="122" w:name="_Toc191804618_WPSOffice_Level2"/>
      <w:r>
        <w:rPr>
          <w:rFonts w:hint="eastAsia" w:eastAsia="仿宋_GB2312" w:cs="仿宋_GB2312"/>
          <w:sz w:val="32"/>
          <w:szCs w:val="32"/>
        </w:rPr>
        <w:t>十、</w:t>
      </w:r>
      <w:bookmarkEnd w:id="121"/>
      <w:r>
        <w:rPr>
          <w:rFonts w:hint="eastAsia" w:eastAsia="仿宋_GB2312" w:cs="仿宋_GB2312"/>
          <w:sz w:val="32"/>
          <w:szCs w:val="32"/>
        </w:rPr>
        <w:t>政府性基金预算财政拨款收入支出决算表</w:t>
      </w:r>
      <w:bookmarkEnd w:id="122"/>
    </w:p>
    <w:p>
      <w:pPr>
        <w:pStyle w:val="14"/>
        <w:adjustRightInd w:val="0"/>
        <w:snapToGrid w:val="0"/>
        <w:spacing w:line="560" w:lineRule="exact"/>
        <w:jc w:val="left"/>
        <w:rPr>
          <w:rFonts w:eastAsia="仿宋_GB2312" w:cs="仿宋_GB2312"/>
          <w:sz w:val="32"/>
          <w:szCs w:val="32"/>
        </w:rPr>
      </w:pPr>
      <w:bookmarkStart w:id="123" w:name="_Toc15396629"/>
      <w:bookmarkStart w:id="124" w:name="_Toc2092630238_WPSOffice_Level2"/>
      <w:r>
        <w:rPr>
          <w:rFonts w:hint="eastAsia" w:eastAsia="仿宋_GB2312" w:cs="仿宋_GB2312"/>
          <w:sz w:val="32"/>
          <w:szCs w:val="32"/>
        </w:rPr>
        <w:t>十一、</w:t>
      </w:r>
      <w:bookmarkEnd w:id="123"/>
      <w:r>
        <w:rPr>
          <w:rFonts w:hint="eastAsia" w:eastAsia="仿宋_GB2312" w:cs="仿宋_GB2312"/>
          <w:sz w:val="32"/>
          <w:szCs w:val="32"/>
        </w:rPr>
        <w:t>国有资本经营预算财政拨款收入支出决算表</w:t>
      </w:r>
      <w:bookmarkEnd w:id="124"/>
    </w:p>
    <w:p>
      <w:pPr>
        <w:pStyle w:val="14"/>
        <w:adjustRightInd w:val="0"/>
        <w:snapToGrid w:val="0"/>
        <w:spacing w:line="560" w:lineRule="exact"/>
        <w:jc w:val="left"/>
        <w:rPr>
          <w:rFonts w:eastAsia="仿宋_GB2312" w:cs="仿宋_GB2312"/>
          <w:sz w:val="32"/>
          <w:szCs w:val="32"/>
        </w:rPr>
      </w:pPr>
      <w:bookmarkStart w:id="125" w:name="_Toc15396630"/>
      <w:bookmarkStart w:id="126" w:name="_Toc878795951_WPSOffice_Level2"/>
      <w:r>
        <w:rPr>
          <w:rFonts w:hint="eastAsia" w:eastAsia="仿宋_GB2312" w:cs="仿宋_GB2312"/>
          <w:sz w:val="32"/>
          <w:szCs w:val="32"/>
        </w:rPr>
        <w:t>十二、</w:t>
      </w:r>
      <w:bookmarkEnd w:id="125"/>
      <w:r>
        <w:rPr>
          <w:rFonts w:hint="eastAsia" w:eastAsia="仿宋_GB2312" w:cs="仿宋_GB2312"/>
          <w:sz w:val="32"/>
          <w:szCs w:val="32"/>
        </w:rPr>
        <w:t>国有资本经营预算财政拨款支出决算表</w:t>
      </w:r>
      <w:bookmarkEnd w:id="126"/>
    </w:p>
    <w:p>
      <w:pPr>
        <w:pStyle w:val="14"/>
        <w:adjustRightInd w:val="0"/>
        <w:snapToGrid w:val="0"/>
        <w:spacing w:line="560" w:lineRule="exact"/>
        <w:jc w:val="left"/>
        <w:rPr>
          <w:rFonts w:eastAsia="仿宋_GB2312" w:cs="仿宋_GB2312"/>
          <w:sz w:val="32"/>
          <w:szCs w:val="32"/>
        </w:rPr>
      </w:pPr>
      <w:bookmarkStart w:id="127" w:name="_Toc15396631"/>
      <w:bookmarkStart w:id="128" w:name="_Toc1911154920_WPSOffice_Level2"/>
      <w:r>
        <w:rPr>
          <w:rFonts w:hint="eastAsia" w:eastAsia="仿宋_GB2312" w:cs="仿宋_GB2312"/>
          <w:sz w:val="32"/>
          <w:szCs w:val="32"/>
        </w:rPr>
        <w:t>十三、</w:t>
      </w:r>
      <w:bookmarkEnd w:id="127"/>
      <w:r>
        <w:rPr>
          <w:rFonts w:hint="eastAsia" w:eastAsia="仿宋_GB2312" w:cs="仿宋_GB2312"/>
          <w:sz w:val="32"/>
          <w:szCs w:val="32"/>
        </w:rPr>
        <w:t>财政拨款“三公”经费支出决算表</w:t>
      </w:r>
      <w:bookmarkEnd w:id="128"/>
    </w:p>
    <w:p/>
    <w:sectPr>
      <w:footerReference r:id="rId6" w:type="first"/>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6FF2C"/>
    <w:multiLevelType w:val="singleLevel"/>
    <w:tmpl w:val="6FF6FF2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3CF259"/>
    <w:rsid w:val="0F98263C"/>
    <w:rsid w:val="0FFDF0DE"/>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D9BB5B9"/>
    <w:rsid w:val="1DEE2156"/>
    <w:rsid w:val="1E740ACF"/>
    <w:rsid w:val="1FF35744"/>
    <w:rsid w:val="1FF6BC77"/>
    <w:rsid w:val="21962A9E"/>
    <w:rsid w:val="21AE7C77"/>
    <w:rsid w:val="22BC3C41"/>
    <w:rsid w:val="23860B96"/>
    <w:rsid w:val="240371BF"/>
    <w:rsid w:val="24DF2EF3"/>
    <w:rsid w:val="260F557C"/>
    <w:rsid w:val="281408E2"/>
    <w:rsid w:val="29FD04D3"/>
    <w:rsid w:val="2BFF7BC6"/>
    <w:rsid w:val="2C8A61B5"/>
    <w:rsid w:val="2D2E01CF"/>
    <w:rsid w:val="2DE49C71"/>
    <w:rsid w:val="2DF04E50"/>
    <w:rsid w:val="2E9545B0"/>
    <w:rsid w:val="2F040D46"/>
    <w:rsid w:val="2FAE5751"/>
    <w:rsid w:val="2FB1A395"/>
    <w:rsid w:val="2FD9A7D8"/>
    <w:rsid w:val="319F7F4E"/>
    <w:rsid w:val="321B2544"/>
    <w:rsid w:val="3304709D"/>
    <w:rsid w:val="34281836"/>
    <w:rsid w:val="349D6851"/>
    <w:rsid w:val="35BA6CAF"/>
    <w:rsid w:val="362FC887"/>
    <w:rsid w:val="364D14C1"/>
    <w:rsid w:val="36AA5135"/>
    <w:rsid w:val="36BE0DA7"/>
    <w:rsid w:val="376B6AA6"/>
    <w:rsid w:val="376D39B2"/>
    <w:rsid w:val="377F169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6D9B2E"/>
    <w:rsid w:val="3FF4CAE0"/>
    <w:rsid w:val="3FF7B227"/>
    <w:rsid w:val="40E54C45"/>
    <w:rsid w:val="43A407DF"/>
    <w:rsid w:val="44515BEA"/>
    <w:rsid w:val="44E268DA"/>
    <w:rsid w:val="453F7E5B"/>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B01F4"/>
    <w:rsid w:val="5FEF394A"/>
    <w:rsid w:val="5FF67715"/>
    <w:rsid w:val="62BF3928"/>
    <w:rsid w:val="647F5392"/>
    <w:rsid w:val="664B1D71"/>
    <w:rsid w:val="667F40F8"/>
    <w:rsid w:val="66FD8952"/>
    <w:rsid w:val="67AA3209"/>
    <w:rsid w:val="681C4F0D"/>
    <w:rsid w:val="69046D0F"/>
    <w:rsid w:val="698D0931"/>
    <w:rsid w:val="6A993CED"/>
    <w:rsid w:val="6B053271"/>
    <w:rsid w:val="6BCE6674"/>
    <w:rsid w:val="6BEBD04D"/>
    <w:rsid w:val="6C4A05C8"/>
    <w:rsid w:val="6C8742B8"/>
    <w:rsid w:val="6C8A170F"/>
    <w:rsid w:val="6CB54609"/>
    <w:rsid w:val="6DBF5E93"/>
    <w:rsid w:val="6DFF077E"/>
    <w:rsid w:val="6DFF24E1"/>
    <w:rsid w:val="6E7E3605"/>
    <w:rsid w:val="6E7FDCC7"/>
    <w:rsid w:val="6ED6A62E"/>
    <w:rsid w:val="6EE00B15"/>
    <w:rsid w:val="6F544B20"/>
    <w:rsid w:val="6F6FB3EB"/>
    <w:rsid w:val="6F784160"/>
    <w:rsid w:val="6F7AE399"/>
    <w:rsid w:val="6F8731EA"/>
    <w:rsid w:val="6FCE6052"/>
    <w:rsid w:val="6FD57C00"/>
    <w:rsid w:val="6FEF5525"/>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5EB98DF"/>
    <w:rsid w:val="75FD6CD5"/>
    <w:rsid w:val="768A1075"/>
    <w:rsid w:val="76E3355F"/>
    <w:rsid w:val="76FED10E"/>
    <w:rsid w:val="76FF5125"/>
    <w:rsid w:val="776F6FFA"/>
    <w:rsid w:val="778769C8"/>
    <w:rsid w:val="77DC22F5"/>
    <w:rsid w:val="77E773A3"/>
    <w:rsid w:val="79086DAD"/>
    <w:rsid w:val="79974F09"/>
    <w:rsid w:val="79D7FD79"/>
    <w:rsid w:val="79EE5BA4"/>
    <w:rsid w:val="7A894339"/>
    <w:rsid w:val="7AFF7572"/>
    <w:rsid w:val="7B6C7DFB"/>
    <w:rsid w:val="7BBFBED0"/>
    <w:rsid w:val="7BC3E394"/>
    <w:rsid w:val="7C1F3737"/>
    <w:rsid w:val="7CBFC87B"/>
    <w:rsid w:val="7CFE0F48"/>
    <w:rsid w:val="7D7EC23E"/>
    <w:rsid w:val="7D7FBAB4"/>
    <w:rsid w:val="7D916348"/>
    <w:rsid w:val="7DDFB639"/>
    <w:rsid w:val="7DFC3460"/>
    <w:rsid w:val="7E8ADEBF"/>
    <w:rsid w:val="7E9F0A40"/>
    <w:rsid w:val="7EBF3514"/>
    <w:rsid w:val="7EEF11D3"/>
    <w:rsid w:val="7EFF82A0"/>
    <w:rsid w:val="7F0971A6"/>
    <w:rsid w:val="7F3F679B"/>
    <w:rsid w:val="7F4FC4EF"/>
    <w:rsid w:val="7F5E4D54"/>
    <w:rsid w:val="7F6E0135"/>
    <w:rsid w:val="7F9F2E2A"/>
    <w:rsid w:val="7FA30C79"/>
    <w:rsid w:val="7FAF8ABF"/>
    <w:rsid w:val="7FB7269E"/>
    <w:rsid w:val="7FBEB6A9"/>
    <w:rsid w:val="7FC96657"/>
    <w:rsid w:val="7FDA9588"/>
    <w:rsid w:val="7FDF220F"/>
    <w:rsid w:val="7FEDC5F7"/>
    <w:rsid w:val="7FEDD9DE"/>
    <w:rsid w:val="7FF5890D"/>
    <w:rsid w:val="7FF93490"/>
    <w:rsid w:val="7FFCDC03"/>
    <w:rsid w:val="7FFEE1BD"/>
    <w:rsid w:val="7FFF790C"/>
    <w:rsid w:val="87AE52E0"/>
    <w:rsid w:val="99FF2014"/>
    <w:rsid w:val="9FFEF7D4"/>
    <w:rsid w:val="A6DD0D7F"/>
    <w:rsid w:val="AB3E7C82"/>
    <w:rsid w:val="ADC6F725"/>
    <w:rsid w:val="AFFD56E1"/>
    <w:rsid w:val="B7CF06AB"/>
    <w:rsid w:val="B7CFA926"/>
    <w:rsid w:val="B7F8786B"/>
    <w:rsid w:val="BABB6AA1"/>
    <w:rsid w:val="BB2F4199"/>
    <w:rsid w:val="BBAF14E0"/>
    <w:rsid w:val="BBBB1D05"/>
    <w:rsid w:val="BD079C78"/>
    <w:rsid w:val="BD733540"/>
    <w:rsid w:val="BF3735D5"/>
    <w:rsid w:val="BF7982D6"/>
    <w:rsid w:val="BF7F09AC"/>
    <w:rsid w:val="BFD475C3"/>
    <w:rsid w:val="BFDD5C1F"/>
    <w:rsid w:val="BFDE5EA6"/>
    <w:rsid w:val="CF6FC6F3"/>
    <w:rsid w:val="CFB71BD1"/>
    <w:rsid w:val="CFD3D3D7"/>
    <w:rsid w:val="CFDF1009"/>
    <w:rsid w:val="D0F7BD88"/>
    <w:rsid w:val="D3BED2EF"/>
    <w:rsid w:val="D5FFA6FD"/>
    <w:rsid w:val="D7D7B16A"/>
    <w:rsid w:val="D8D6DB89"/>
    <w:rsid w:val="DA7A7463"/>
    <w:rsid w:val="DB6F4CAB"/>
    <w:rsid w:val="DB777682"/>
    <w:rsid w:val="DD1FB521"/>
    <w:rsid w:val="DDB9A80A"/>
    <w:rsid w:val="DDB9C046"/>
    <w:rsid w:val="DDC6ECBE"/>
    <w:rsid w:val="DE6FF35F"/>
    <w:rsid w:val="DEBF047C"/>
    <w:rsid w:val="DEFBFEAE"/>
    <w:rsid w:val="DF1F3B80"/>
    <w:rsid w:val="DF6F9789"/>
    <w:rsid w:val="DF7BA41B"/>
    <w:rsid w:val="DFED2590"/>
    <w:rsid w:val="DFFFA9E8"/>
    <w:rsid w:val="E5F4E9DC"/>
    <w:rsid w:val="E70FE695"/>
    <w:rsid w:val="EBED3C4B"/>
    <w:rsid w:val="ECFED1BC"/>
    <w:rsid w:val="ED1D69BB"/>
    <w:rsid w:val="ED7FD312"/>
    <w:rsid w:val="EDF6CFAF"/>
    <w:rsid w:val="EF53993F"/>
    <w:rsid w:val="EF6FD633"/>
    <w:rsid w:val="EFBFB2F4"/>
    <w:rsid w:val="EFBFFA21"/>
    <w:rsid w:val="EFF6688A"/>
    <w:rsid w:val="F2BEBCB8"/>
    <w:rsid w:val="F36FB518"/>
    <w:rsid w:val="F3857FAF"/>
    <w:rsid w:val="F3DE1A04"/>
    <w:rsid w:val="F3F722E5"/>
    <w:rsid w:val="F3FDD3C2"/>
    <w:rsid w:val="F4FA719F"/>
    <w:rsid w:val="F5BF825F"/>
    <w:rsid w:val="F73186A4"/>
    <w:rsid w:val="F7BB8F73"/>
    <w:rsid w:val="F7F73262"/>
    <w:rsid w:val="F9B5777A"/>
    <w:rsid w:val="F9EFAAAF"/>
    <w:rsid w:val="F9FD9CB0"/>
    <w:rsid w:val="FA5F1E70"/>
    <w:rsid w:val="FA5FDB97"/>
    <w:rsid w:val="FB7F486A"/>
    <w:rsid w:val="FBF28AAE"/>
    <w:rsid w:val="FBF740F9"/>
    <w:rsid w:val="FBFF5B2E"/>
    <w:rsid w:val="FD3C6725"/>
    <w:rsid w:val="FD7B71F5"/>
    <w:rsid w:val="FD7D3EB9"/>
    <w:rsid w:val="FD7F905F"/>
    <w:rsid w:val="FD7FFE2B"/>
    <w:rsid w:val="FDC53FD0"/>
    <w:rsid w:val="FDDF1240"/>
    <w:rsid w:val="FDEE032A"/>
    <w:rsid w:val="FDEE196B"/>
    <w:rsid w:val="FDFE6575"/>
    <w:rsid w:val="FEDFDDC2"/>
    <w:rsid w:val="FEED32F6"/>
    <w:rsid w:val="FEF781DD"/>
    <w:rsid w:val="FEFFFD9D"/>
    <w:rsid w:val="FF3F7E3F"/>
    <w:rsid w:val="FFAD1778"/>
    <w:rsid w:val="FFBA12D7"/>
    <w:rsid w:val="FFD31D80"/>
    <w:rsid w:val="FFDFFAEE"/>
    <w:rsid w:val="FFF497B6"/>
    <w:rsid w:val="FFF62D39"/>
    <w:rsid w:val="FFF9B57B"/>
    <w:rsid w:val="FFFA6A05"/>
    <w:rsid w:val="FFFB86FF"/>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b1e4656-852d-484b-bb3c-b38415ff5cd5}"/>
        <w:style w:val=""/>
        <w:category>
          <w:name w:val="常规"/>
          <w:gallery w:val="placeholder"/>
        </w:category>
        <w:types>
          <w:type w:val="bbPlcHdr"/>
        </w:types>
        <w:behaviors>
          <w:behavior w:val="content"/>
        </w:behaviors>
        <w:description w:val=""/>
        <w:guid w:val="{eb1e4656-852d-484b-bb3c-b38415ff5cd5}"/>
      </w:docPartPr>
      <w:docPartBody>
        <w:p>
          <w:r>
            <w:rPr>
              <w:color w:val="808080"/>
            </w:rPr>
            <w:t>单击此处输入文字。</w:t>
          </w:r>
        </w:p>
      </w:docPartBody>
    </w:docPart>
    <w:docPart>
      <w:docPartPr>
        <w:name w:val="{6f125caf-dfb0-4b2b-ae40-43825d22d755}"/>
        <w:style w:val=""/>
        <w:category>
          <w:name w:val="常规"/>
          <w:gallery w:val="placeholder"/>
        </w:category>
        <w:types>
          <w:type w:val="bbPlcHdr"/>
        </w:types>
        <w:behaviors>
          <w:behavior w:val="content"/>
        </w:behaviors>
        <w:description w:val=""/>
        <w:guid w:val="{6f125caf-dfb0-4b2b-ae40-43825d22d755}"/>
      </w:docPartPr>
      <w:docPartBody>
        <w:p>
          <w:r>
            <w:rPr>
              <w:color w:val="808080"/>
            </w:rPr>
            <w:t>单击此处输入文字。</w:t>
          </w:r>
        </w:p>
      </w:docPartBody>
    </w:docPart>
    <w:docPart>
      <w:docPartPr>
        <w:name w:val="{49b2bdc5-4606-4750-ade8-ccab976b5edc}"/>
        <w:style w:val=""/>
        <w:category>
          <w:name w:val="常规"/>
          <w:gallery w:val="placeholder"/>
        </w:category>
        <w:types>
          <w:type w:val="bbPlcHdr"/>
        </w:types>
        <w:behaviors>
          <w:behavior w:val="content"/>
        </w:behaviors>
        <w:description w:val=""/>
        <w:guid w:val="{49b2bdc5-4606-4750-ade8-ccab976b5edc}"/>
      </w:docPartPr>
      <w:docPartBody>
        <w:p>
          <w:r>
            <w:rPr>
              <w:color w:val="808080"/>
            </w:rPr>
            <w:t>单击此处输入文字。</w:t>
          </w:r>
        </w:p>
      </w:docPartBody>
    </w:docPart>
    <w:docPart>
      <w:docPartPr>
        <w:name w:val="{0c379b08-1297-41fe-af75-8b2bb1632111}"/>
        <w:style w:val=""/>
        <w:category>
          <w:name w:val="常规"/>
          <w:gallery w:val="placeholder"/>
        </w:category>
        <w:types>
          <w:type w:val="bbPlcHdr"/>
        </w:types>
        <w:behaviors>
          <w:behavior w:val="content"/>
        </w:behaviors>
        <w:description w:val=""/>
        <w:guid w:val="{0c379b08-1297-41fe-af75-8b2bb1632111}"/>
      </w:docPartPr>
      <w:docPartBody>
        <w:p>
          <w:r>
            <w:rPr>
              <w:color w:val="808080"/>
            </w:rPr>
            <w:t>单击此处输入文字。</w:t>
          </w:r>
        </w:p>
      </w:docPartBody>
    </w:docPart>
    <w:docPart>
      <w:docPartPr>
        <w:name w:val="{0be15f9b-8c9d-4e18-bbb1-67e4e2463e15}"/>
        <w:style w:val=""/>
        <w:category>
          <w:name w:val="常规"/>
          <w:gallery w:val="placeholder"/>
        </w:category>
        <w:types>
          <w:type w:val="bbPlcHdr"/>
        </w:types>
        <w:behaviors>
          <w:behavior w:val="content"/>
        </w:behaviors>
        <w:description w:val=""/>
        <w:guid w:val="{0be15f9b-8c9d-4e18-bbb1-67e4e2463e15}"/>
      </w:docPartPr>
      <w:docPartBody>
        <w:p>
          <w:r>
            <w:rPr>
              <w:color w:val="808080"/>
            </w:rPr>
            <w:t>单击此处输入文字。</w:t>
          </w:r>
        </w:p>
      </w:docPartBody>
    </w:docPart>
    <w:docPart>
      <w:docPartPr>
        <w:name w:val="{34d4117d-f54d-4b80-bdc8-04bd465d688e}"/>
        <w:style w:val=""/>
        <w:category>
          <w:name w:val="常规"/>
          <w:gallery w:val="placeholder"/>
        </w:category>
        <w:types>
          <w:type w:val="bbPlcHdr"/>
        </w:types>
        <w:behaviors>
          <w:behavior w:val="content"/>
        </w:behaviors>
        <w:description w:val=""/>
        <w:guid w:val="{34d4117d-f54d-4b80-bdc8-04bd465d688e}"/>
      </w:docPartPr>
      <w:docPartBody>
        <w:p>
          <w:r>
            <w:rPr>
              <w:color w:val="808080"/>
            </w:rPr>
            <w:t>单击此处输入文字。</w:t>
          </w:r>
        </w:p>
      </w:docPartBody>
    </w:docPart>
    <w:docPart>
      <w:docPartPr>
        <w:name w:val="{8f235b27-8c4f-42f5-b402-bc98e3681604}"/>
        <w:style w:val=""/>
        <w:category>
          <w:name w:val="常规"/>
          <w:gallery w:val="placeholder"/>
        </w:category>
        <w:types>
          <w:type w:val="bbPlcHdr"/>
        </w:types>
        <w:behaviors>
          <w:behavior w:val="content"/>
        </w:behaviors>
        <w:description w:val=""/>
        <w:guid w:val="{8f235b27-8c4f-42f5-b402-bc98e3681604}"/>
      </w:docPartPr>
      <w:docPartBody>
        <w:p>
          <w:r>
            <w:rPr>
              <w:color w:val="808080"/>
            </w:rPr>
            <w:t>单击此处输入文字。</w:t>
          </w:r>
        </w:p>
      </w:docPartBody>
    </w:docPart>
    <w:docPart>
      <w:docPartPr>
        <w:name w:val="{f9e50ba4-a4e1-4e52-8c9c-ff9c4e4894aa}"/>
        <w:style w:val=""/>
        <w:category>
          <w:name w:val="常规"/>
          <w:gallery w:val="placeholder"/>
        </w:category>
        <w:types>
          <w:type w:val="bbPlcHdr"/>
        </w:types>
        <w:behaviors>
          <w:behavior w:val="content"/>
        </w:behaviors>
        <w:description w:val=""/>
        <w:guid w:val="{f9e50ba4-a4e1-4e52-8c9c-ff9c4e4894aa}"/>
      </w:docPartPr>
      <w:docPartBody>
        <w:p>
          <w:r>
            <w:rPr>
              <w:color w:val="808080"/>
            </w:rPr>
            <w:t>单击此处输入文字。</w:t>
          </w:r>
        </w:p>
      </w:docPartBody>
    </w:docPart>
    <w:docPart>
      <w:docPartPr>
        <w:name w:val="{05fbe00a-0e0a-4cfe-b0ff-1c51f3b2b5a6}"/>
        <w:style w:val=""/>
        <w:category>
          <w:name w:val="常规"/>
          <w:gallery w:val="placeholder"/>
        </w:category>
        <w:types>
          <w:type w:val="bbPlcHdr"/>
        </w:types>
        <w:behaviors>
          <w:behavior w:val="content"/>
        </w:behaviors>
        <w:description w:val=""/>
        <w:guid w:val="{05fbe00a-0e0a-4cfe-b0ff-1c51f3b2b5a6}"/>
      </w:docPartPr>
      <w:docPartBody>
        <w:p>
          <w:r>
            <w:rPr>
              <w:color w:val="808080"/>
            </w:rPr>
            <w:t>单击此处输入文字。</w:t>
          </w:r>
        </w:p>
      </w:docPartBody>
    </w:docPart>
    <w:docPart>
      <w:docPartPr>
        <w:name w:val="{c443ffe7-1f96-4bf8-b1ca-052870094837}"/>
        <w:style w:val=""/>
        <w:category>
          <w:name w:val="常规"/>
          <w:gallery w:val="placeholder"/>
        </w:category>
        <w:types>
          <w:type w:val="bbPlcHdr"/>
        </w:types>
        <w:behaviors>
          <w:behavior w:val="content"/>
        </w:behaviors>
        <w:description w:val=""/>
        <w:guid w:val="{c443ffe7-1f96-4bf8-b1ca-052870094837}"/>
      </w:docPartPr>
      <w:docPartBody>
        <w:p>
          <w:r>
            <w:rPr>
              <w:color w:val="808080"/>
            </w:rPr>
            <w:t>单击此处输入文字。</w:t>
          </w:r>
        </w:p>
      </w:docPartBody>
    </w:docPart>
    <w:docPart>
      <w:docPartPr>
        <w:name w:val="{5de6da35-c15e-42ee-ad56-1dd2c6d579b8}"/>
        <w:style w:val=""/>
        <w:category>
          <w:name w:val="常规"/>
          <w:gallery w:val="placeholder"/>
        </w:category>
        <w:types>
          <w:type w:val="bbPlcHdr"/>
        </w:types>
        <w:behaviors>
          <w:behavior w:val="content"/>
        </w:behaviors>
        <w:description w:val=""/>
        <w:guid w:val="{5de6da35-c15e-42ee-ad56-1dd2c6d579b8}"/>
      </w:docPartPr>
      <w:docPartBody>
        <w:p>
          <w:r>
            <w:rPr>
              <w:color w:val="808080"/>
            </w:rPr>
            <w:t>单击此处输入文字。</w:t>
          </w:r>
        </w:p>
      </w:docPartBody>
    </w:docPart>
    <w:docPart>
      <w:docPartPr>
        <w:name w:val="{f2ab313b-424f-4e2c-86fa-c2e957b3f324}"/>
        <w:style w:val=""/>
        <w:category>
          <w:name w:val="常规"/>
          <w:gallery w:val="placeholder"/>
        </w:category>
        <w:types>
          <w:type w:val="bbPlcHdr"/>
        </w:types>
        <w:behaviors>
          <w:behavior w:val="content"/>
        </w:behaviors>
        <w:description w:val=""/>
        <w:guid w:val="{f2ab313b-424f-4e2c-86fa-c2e957b3f324}"/>
      </w:docPartPr>
      <w:docPartBody>
        <w:p>
          <w:r>
            <w:rPr>
              <w:color w:val="808080"/>
            </w:rPr>
            <w:t>单击此处输入文字。</w:t>
          </w:r>
        </w:p>
      </w:docPartBody>
    </w:docPart>
    <w:docPart>
      <w:docPartPr>
        <w:name w:val="{4537b410-0324-40c1-95d1-b83a8dac5555}"/>
        <w:style w:val=""/>
        <w:category>
          <w:name w:val="常规"/>
          <w:gallery w:val="placeholder"/>
        </w:category>
        <w:types>
          <w:type w:val="bbPlcHdr"/>
        </w:types>
        <w:behaviors>
          <w:behavior w:val="content"/>
        </w:behaviors>
        <w:description w:val=""/>
        <w:guid w:val="{4537b410-0324-40c1-95d1-b83a8dac5555}"/>
      </w:docPartPr>
      <w:docPartBody>
        <w:p>
          <w:r>
            <w:rPr>
              <w:color w:val="808080"/>
            </w:rPr>
            <w:t>单击此处输入文字。</w:t>
          </w:r>
        </w:p>
      </w:docPartBody>
    </w:docPart>
    <w:docPart>
      <w:docPartPr>
        <w:name w:val="{ee915970-eecc-4e9c-80de-ac022ed9e6b7}"/>
        <w:style w:val=""/>
        <w:category>
          <w:name w:val="常规"/>
          <w:gallery w:val="placeholder"/>
        </w:category>
        <w:types>
          <w:type w:val="bbPlcHdr"/>
        </w:types>
        <w:behaviors>
          <w:behavior w:val="content"/>
        </w:behaviors>
        <w:description w:val=""/>
        <w:guid w:val="{ee915970-eecc-4e9c-80de-ac022ed9e6b7}"/>
      </w:docPartPr>
      <w:docPartBody>
        <w:p>
          <w:r>
            <w:rPr>
              <w:color w:val="808080"/>
            </w:rPr>
            <w:t>单击此处输入文字。</w:t>
          </w:r>
        </w:p>
      </w:docPartBody>
    </w:docPart>
    <w:docPart>
      <w:docPartPr>
        <w:name w:val="{1afebb40-c8a5-4b28-956b-511827cadae3}"/>
        <w:style w:val=""/>
        <w:category>
          <w:name w:val="常规"/>
          <w:gallery w:val="placeholder"/>
        </w:category>
        <w:types>
          <w:type w:val="bbPlcHdr"/>
        </w:types>
        <w:behaviors>
          <w:behavior w:val="content"/>
        </w:behaviors>
        <w:description w:val=""/>
        <w:guid w:val="{1afebb40-c8a5-4b28-956b-511827cadae3}"/>
      </w:docPartPr>
      <w:docPartBody>
        <w:p>
          <w:r>
            <w:rPr>
              <w:color w:val="808080"/>
            </w:rPr>
            <w:t>单击此处输入文字。</w:t>
          </w:r>
        </w:p>
      </w:docPartBody>
    </w:docPart>
    <w:docPart>
      <w:docPartPr>
        <w:name w:val="{f918b83c-ee8a-4e37-9cf4-7e1f3536bbc5}"/>
        <w:style w:val=""/>
        <w:category>
          <w:name w:val="常规"/>
          <w:gallery w:val="placeholder"/>
        </w:category>
        <w:types>
          <w:type w:val="bbPlcHdr"/>
        </w:types>
        <w:behaviors>
          <w:behavior w:val="content"/>
        </w:behaviors>
        <w:description w:val=""/>
        <w:guid w:val="{f918b83c-ee8a-4e37-9cf4-7e1f3536bbc5}"/>
      </w:docPartPr>
      <w:docPartBody>
        <w:p>
          <w:r>
            <w:rPr>
              <w:color w:val="808080"/>
            </w:rPr>
            <w:t>单击此处输入文字。</w:t>
          </w:r>
        </w:p>
      </w:docPartBody>
    </w:docPart>
    <w:docPart>
      <w:docPartPr>
        <w:name w:val="{1a15cc11-7209-4043-a067-039d4a14496c}"/>
        <w:style w:val=""/>
        <w:category>
          <w:name w:val="常规"/>
          <w:gallery w:val="placeholder"/>
        </w:category>
        <w:types>
          <w:type w:val="bbPlcHdr"/>
        </w:types>
        <w:behaviors>
          <w:behavior w:val="content"/>
        </w:behaviors>
        <w:description w:val=""/>
        <w:guid w:val="{1a15cc11-7209-4043-a067-039d4a14496c}"/>
      </w:docPartPr>
      <w:docPartBody>
        <w:p>
          <w:r>
            <w:rPr>
              <w:color w:val="808080"/>
            </w:rPr>
            <w:t>单击此处输入文字。</w:t>
          </w:r>
        </w:p>
      </w:docPartBody>
    </w:docPart>
    <w:docPart>
      <w:docPartPr>
        <w:name w:val="{11d06177-d7b9-45b7-be8f-ac7f7601ef4d}"/>
        <w:style w:val=""/>
        <w:category>
          <w:name w:val="常规"/>
          <w:gallery w:val="placeholder"/>
        </w:category>
        <w:types>
          <w:type w:val="bbPlcHdr"/>
        </w:types>
        <w:behaviors>
          <w:behavior w:val="content"/>
        </w:behaviors>
        <w:description w:val=""/>
        <w:guid w:val="{11d06177-d7b9-45b7-be8f-ac7f7601ef4d}"/>
      </w:docPartPr>
      <w:docPartBody>
        <w:p>
          <w:r>
            <w:rPr>
              <w:color w:val="808080"/>
            </w:rPr>
            <w:t>单击此处输入文字。</w:t>
          </w:r>
        </w:p>
      </w:docPartBody>
    </w:docPart>
    <w:docPart>
      <w:docPartPr>
        <w:name w:val="{f22bb274-ca10-42c0-8585-bcdacd6ba123}"/>
        <w:style w:val=""/>
        <w:category>
          <w:name w:val="常规"/>
          <w:gallery w:val="placeholder"/>
        </w:category>
        <w:types>
          <w:type w:val="bbPlcHdr"/>
        </w:types>
        <w:behaviors>
          <w:behavior w:val="content"/>
        </w:behaviors>
        <w:description w:val=""/>
        <w:guid w:val="{f22bb274-ca10-42c0-8585-bcdacd6ba123}"/>
      </w:docPartPr>
      <w:docPartBody>
        <w:p>
          <w:r>
            <w:rPr>
              <w:color w:val="808080"/>
            </w:rPr>
            <w:t>单击此处输入文字。</w:t>
          </w:r>
        </w:p>
      </w:docPartBody>
    </w:docPart>
    <w:docPart>
      <w:docPartPr>
        <w:name w:val="{c67f9fd2-0ae7-4351-86ab-1e83f3218d1c}"/>
        <w:style w:val=""/>
        <w:category>
          <w:name w:val="常规"/>
          <w:gallery w:val="placeholder"/>
        </w:category>
        <w:types>
          <w:type w:val="bbPlcHdr"/>
        </w:types>
        <w:behaviors>
          <w:behavior w:val="content"/>
        </w:behaviors>
        <w:description w:val=""/>
        <w:guid w:val="{c67f9fd2-0ae7-4351-86ab-1e83f3218d1c}"/>
      </w:docPartPr>
      <w:docPartBody>
        <w:p>
          <w:r>
            <w:rPr>
              <w:color w:val="808080"/>
            </w:rPr>
            <w:t>单击此处输入文字。</w:t>
          </w:r>
        </w:p>
      </w:docPartBody>
    </w:docPart>
    <w:docPart>
      <w:docPartPr>
        <w:name w:val="{2153d7a4-3ce6-4b4a-94f2-d4f608171d34}"/>
        <w:style w:val=""/>
        <w:category>
          <w:name w:val="常规"/>
          <w:gallery w:val="placeholder"/>
        </w:category>
        <w:types>
          <w:type w:val="bbPlcHdr"/>
        </w:types>
        <w:behaviors>
          <w:behavior w:val="content"/>
        </w:behaviors>
        <w:description w:val=""/>
        <w:guid w:val="{2153d7a4-3ce6-4b4a-94f2-d4f608171d34}"/>
      </w:docPartPr>
      <w:docPartBody>
        <w:p>
          <w:r>
            <w:rPr>
              <w:color w:val="808080"/>
            </w:rPr>
            <w:t>单击此处输入文字。</w:t>
          </w:r>
        </w:p>
      </w:docPartBody>
    </w:docPart>
    <w:docPart>
      <w:docPartPr>
        <w:name w:val="{c0cb1345-b0c1-4f34-9802-6f80dc5fc8d7}"/>
        <w:style w:val=""/>
        <w:category>
          <w:name w:val="常规"/>
          <w:gallery w:val="placeholder"/>
        </w:category>
        <w:types>
          <w:type w:val="bbPlcHdr"/>
        </w:types>
        <w:behaviors>
          <w:behavior w:val="content"/>
        </w:behaviors>
        <w:description w:val=""/>
        <w:guid w:val="{c0cb1345-b0c1-4f34-9802-6f80dc5fc8d7}"/>
      </w:docPartPr>
      <w:docPartBody>
        <w:p>
          <w:r>
            <w:rPr>
              <w:color w:val="808080"/>
            </w:rPr>
            <w:t>单击此处输入文字。</w:t>
          </w:r>
        </w:p>
      </w:docPartBody>
    </w:docPart>
    <w:docPart>
      <w:docPartPr>
        <w:name w:val="{17adf603-13e5-4a6d-8fc6-f15301e28942}"/>
        <w:style w:val=""/>
        <w:category>
          <w:name w:val="常规"/>
          <w:gallery w:val="placeholder"/>
        </w:category>
        <w:types>
          <w:type w:val="bbPlcHdr"/>
        </w:types>
        <w:behaviors>
          <w:behavior w:val="content"/>
        </w:behaviors>
        <w:description w:val=""/>
        <w:guid w:val="{17adf603-13e5-4a6d-8fc6-f15301e28942}"/>
      </w:docPartPr>
      <w:docPartBody>
        <w:p>
          <w:r>
            <w:rPr>
              <w:color w:val="808080"/>
            </w:rPr>
            <w:t>单击此处输入文字。</w:t>
          </w:r>
        </w:p>
      </w:docPartBody>
    </w:docPart>
    <w:docPart>
      <w:docPartPr>
        <w:name w:val="{63199c7b-18fd-49ab-8787-2abf13c3650d}"/>
        <w:style w:val=""/>
        <w:category>
          <w:name w:val="常规"/>
          <w:gallery w:val="placeholder"/>
        </w:category>
        <w:types>
          <w:type w:val="bbPlcHdr"/>
        </w:types>
        <w:behaviors>
          <w:behavior w:val="content"/>
        </w:behaviors>
        <w:description w:val=""/>
        <w:guid w:val="{63199c7b-18fd-49ab-8787-2abf13c3650d}"/>
      </w:docPartPr>
      <w:docPartBody>
        <w:p>
          <w:r>
            <w:rPr>
              <w:color w:val="808080"/>
            </w:rPr>
            <w:t>单击此处输入文字。</w:t>
          </w:r>
        </w:p>
      </w:docPartBody>
    </w:docPart>
    <w:docPart>
      <w:docPartPr>
        <w:name w:val="{ac606782-971a-422c-aa20-288860f45493}"/>
        <w:style w:val=""/>
        <w:category>
          <w:name w:val="常规"/>
          <w:gallery w:val="placeholder"/>
        </w:category>
        <w:types>
          <w:type w:val="bbPlcHdr"/>
        </w:types>
        <w:behaviors>
          <w:behavior w:val="content"/>
        </w:behaviors>
        <w:description w:val=""/>
        <w:guid w:val="{ac606782-971a-422c-aa20-288860f45493}"/>
      </w:docPartPr>
      <w:docPartBody>
        <w:p>
          <w:r>
            <w:rPr>
              <w:color w:val="808080"/>
            </w:rPr>
            <w:t>单击此处输入文字。</w:t>
          </w:r>
        </w:p>
      </w:docPartBody>
    </w:docPart>
    <w:docPart>
      <w:docPartPr>
        <w:name w:val="{e940991a-7b37-4a47-88b2-49e31b750b8f}"/>
        <w:style w:val=""/>
        <w:category>
          <w:name w:val="常规"/>
          <w:gallery w:val="placeholder"/>
        </w:category>
        <w:types>
          <w:type w:val="bbPlcHdr"/>
        </w:types>
        <w:behaviors>
          <w:behavior w:val="content"/>
        </w:behaviors>
        <w:description w:val=""/>
        <w:guid w:val="{e940991a-7b37-4a47-88b2-49e31b750b8f}"/>
      </w:docPartPr>
      <w:docPartBody>
        <w:p>
          <w:r>
            <w:rPr>
              <w:color w:val="808080"/>
            </w:rPr>
            <w:t>单击此处输入文字。</w:t>
          </w:r>
        </w:p>
      </w:docPartBody>
    </w:docPart>
    <w:docPart>
      <w:docPartPr>
        <w:name w:val="{500723c7-7c77-4dd2-ba83-fa80e52ea16b}"/>
        <w:style w:val=""/>
        <w:category>
          <w:name w:val="常规"/>
          <w:gallery w:val="placeholder"/>
        </w:category>
        <w:types>
          <w:type w:val="bbPlcHdr"/>
        </w:types>
        <w:behaviors>
          <w:behavior w:val="content"/>
        </w:behaviors>
        <w:description w:val=""/>
        <w:guid w:val="{500723c7-7c77-4dd2-ba83-fa80e52ea16b}"/>
      </w:docPartPr>
      <w:docPartBody>
        <w:p>
          <w:r>
            <w:rPr>
              <w:color w:val="808080"/>
            </w:rPr>
            <w:t>单击此处输入文字。</w:t>
          </w:r>
        </w:p>
      </w:docPartBody>
    </w:docPart>
    <w:docPart>
      <w:docPartPr>
        <w:name w:val="{0d72edc7-6e2c-456b-aaca-7761456a8ddc}"/>
        <w:style w:val=""/>
        <w:category>
          <w:name w:val="常规"/>
          <w:gallery w:val="placeholder"/>
        </w:category>
        <w:types>
          <w:type w:val="bbPlcHdr"/>
        </w:types>
        <w:behaviors>
          <w:behavior w:val="content"/>
        </w:behaviors>
        <w:description w:val=""/>
        <w:guid w:val="{0d72edc7-6e2c-456b-aaca-7761456a8ddc}"/>
      </w:docPartPr>
      <w:docPartBody>
        <w:p>
          <w:r>
            <w:rPr>
              <w:color w:val="808080"/>
            </w:rPr>
            <w:t>单击此处输入文字。</w:t>
          </w:r>
        </w:p>
      </w:docPartBody>
    </w:docPart>
    <w:docPart>
      <w:docPartPr>
        <w:name w:val="{c3ca461a-bf25-4906-ba93-9bbd8c79c764}"/>
        <w:style w:val=""/>
        <w:category>
          <w:name w:val="常规"/>
          <w:gallery w:val="placeholder"/>
        </w:category>
        <w:types>
          <w:type w:val="bbPlcHdr"/>
        </w:types>
        <w:behaviors>
          <w:behavior w:val="content"/>
        </w:behaviors>
        <w:description w:val=""/>
        <w:guid w:val="{c3ca461a-bf25-4906-ba93-9bbd8c79c764}"/>
      </w:docPartPr>
      <w:docPartBody>
        <w:p>
          <w:r>
            <w:rPr>
              <w:color w:val="808080"/>
            </w:rPr>
            <w:t>单击此处输入文字。</w:t>
          </w:r>
        </w:p>
      </w:docPartBody>
    </w:docPart>
    <w:docPart>
      <w:docPartPr>
        <w:name w:val="{18e34bc4-48b4-4efc-9399-c994717d68c5}"/>
        <w:style w:val=""/>
        <w:category>
          <w:name w:val="常规"/>
          <w:gallery w:val="placeholder"/>
        </w:category>
        <w:types>
          <w:type w:val="bbPlcHdr"/>
        </w:types>
        <w:behaviors>
          <w:behavior w:val="content"/>
        </w:behaviors>
        <w:description w:val=""/>
        <w:guid w:val="{18e34bc4-48b4-4efc-9399-c994717d68c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1334</Words>
  <Characters>7606</Characters>
  <Lines>63</Lines>
  <Paragraphs>17</Paragraphs>
  <TotalTime>0</TotalTime>
  <ScaleCrop>false</ScaleCrop>
  <LinksUpToDate>false</LinksUpToDate>
  <CharactersWithSpaces>8923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2020-08-13T09:49:00Z</dcterms:created>
  <dc:creator>曹颖</dc:creator>
  <cp:lastModifiedBy>user</cp:lastModifiedBy>
  <cp:lastPrinted>2026-08-31T16:27:00Z</cp:lastPrinted>
  <dcterms:modified xsi:type="dcterms:W3CDTF">2026-09-10T11:45:29Z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ies>
</file>