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glossary/document.xml" ContentType="application/vnd.openxmlformats-officedocument.wordprocessingml.document.glossary+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7"/>
        <w:spacing w:beforeLines="0" w:before="93"/>
        <w:rPr>
          <w:rFonts w:ascii="Times New Roman" w:eastAsia="方正小标宋简体" w:hAnsi="Times New Roman"/>
          <w:kern w:val="2"/>
          <w:sz w:val="72"/>
          <w:szCs w:val="72"/>
        </w:rPr>
      </w:pPr>
      <w:bookmarkStart w:id="0" w:name="_Toc15396597"/>
      <w:bookmarkStart w:id="1" w:name="_Toc15377425"/>
      <w:bookmarkStart w:id="2" w:name="_Toc15396475"/>
      <w:bookmarkStart w:id="3" w:name="_Toc15377193"/>
      <w:bookmarkStart w:id="4" w:name="_Toc15378441"/>
      <w:bookmarkStart w:id="5" w:name="_Toc15306267"/>
    </w:p>
    <w:p>
      <w:pPr>
        <w:pStyle w:val="17"/>
        <w:spacing w:beforeLines="0" w:before="93"/>
        <w:rPr>
          <w:rFonts w:ascii="Times New Roman" w:eastAsia="方正小标宋简体" w:hAnsi="Times New Roman" w:hint="eastAsia"/>
          <w:kern w:val="2"/>
          <w:sz w:val="72"/>
          <w:szCs w:val="72"/>
        </w:rPr>
      </w:pPr>
    </w:p>
    <w:p>
      <w:pPr>
        <w:pStyle w:val="17"/>
        <w:spacing w:beforeLines="0" w:before="93"/>
        <w:jc w:val="center"/>
        <w:rPr>
          <w:rFonts w:ascii="Times New Roman" w:eastAsia="方正小标宋简体" w:hAnsi="Times New Roman" w:hint="eastAsia"/>
          <w:kern w:val="2"/>
          <w:sz w:val="44"/>
          <w:szCs w:val="44"/>
          <w:lang w:eastAsia="zh-CN"/>
        </w:rPr>
      </w:pPr>
      <w:r>
        <w:rPr>
          <w:rFonts w:ascii="Times New Roman" w:eastAsia="方正小标宋简体" w:hAnsi="Times New Roman" w:hint="eastAsia"/>
          <w:kern w:val="2"/>
          <w:sz w:val="44"/>
          <w:szCs w:val="44"/>
        </w:rPr>
        <w:t>2025年度</w:t>
      </w:r>
      <w:r>
        <w:rPr>
          <w:rFonts w:ascii="Times New Roman" w:eastAsia="方正小标宋简体" w:hAnsi="Times New Roman" w:hint="eastAsia"/>
          <w:kern w:val="2"/>
          <w:sz w:val="44"/>
          <w:szCs w:val="44"/>
          <w:lang w:eastAsia="zh-CN"/>
        </w:rPr>
        <w:t>攀枝花市退役军人事务局</w:t>
      </w:r>
    </w:p>
    <w:p>
      <w:pPr>
        <w:pStyle w:val="17"/>
        <w:spacing w:beforeLines="0" w:before="93"/>
        <w:jc w:val="center"/>
        <w:rPr>
          <w:rFonts w:ascii="Times New Roman" w:eastAsia="方正小标宋简体" w:hAnsi="Times New Roman" w:hint="eastAsia"/>
          <w:kern w:val="2"/>
          <w:sz w:val="44"/>
          <w:szCs w:val="44"/>
          <w:lang w:eastAsia="zh-CN"/>
        </w:rPr>
      </w:pPr>
      <w:r>
        <w:rPr>
          <w:rFonts w:ascii="Times New Roman" w:eastAsia="方正小标宋简体" w:hAnsi="Times New Roman" w:hint="eastAsia"/>
          <w:kern w:val="2"/>
          <w:sz w:val="44"/>
          <w:szCs w:val="44"/>
        </w:rPr>
        <w:t>决算公开编制说明</w:t>
      </w:r>
    </w:p>
    <w:p>
      <w:pPr>
        <w:spacing w:line="600" w:lineRule="exact"/>
        <w:jc w:val="center"/>
        <w:outlineLvl w:val="0"/>
        <w:rPr>
          <w:rFonts w:eastAsia="方正小标宋简体"/>
          <w:sz w:val="72"/>
          <w:szCs w:val="72"/>
        </w:rPr>
      </w:pPr>
    </w:p>
    <w:p>
      <w:pPr>
        <w:pStyle w:val="30"/>
        <w:rPr>
          <w:rFonts w:ascii="Times New Roman" w:hAnsi="Times New Roman"/>
        </w:rPr>
        <w:sectPr>
          <w:headerReference w:type="default" r:id="rId2"/>
          <w:footerReference w:type="default" r:id="rId3"/>
          <w:pgSz w:w="11906" w:h="16838"/>
          <w:pgMar w:top="1440" w:right="1800" w:bottom="1440" w:left="1800" w:header="851" w:footer="992" w:gutter="0"/>
          <w:pgNumType w:start="1"/>
          <w:titlePg/>
          <w:docGrid w:type="lines" w:linePitch="312" w:charSpace="0"/>
        </w:sectPr>
      </w:pPr>
    </w:p>
    <w:p/>
    <w:p>
      <w:pPr>
        <w:pStyle w:val="17"/>
        <w:spacing w:beforeLines="0" w:before="93"/>
        <w:jc w:val="center"/>
        <w:rPr>
          <w:rFonts w:ascii="Times New Roman" w:eastAsia="方正小标宋简体" w:hAnsi="Times New Roman"/>
          <w:kern w:val="2"/>
          <w:sz w:val="44"/>
          <w:szCs w:val="44"/>
        </w:rPr>
      </w:pPr>
    </w:p>
    <w:p>
      <w:pPr>
        <w:pStyle w:val="17"/>
        <w:spacing w:beforeLines="0" w:before="93"/>
        <w:jc w:val="center"/>
        <w:rPr>
          <w:rFonts w:ascii="Times New Roman" w:eastAsia="方正小标宋简体" w:hAnsi="Times New Roman"/>
          <w:kern w:val="2"/>
          <w:sz w:val="44"/>
          <w:szCs w:val="44"/>
        </w:rPr>
      </w:pPr>
    </w:p>
    <w:p>
      <w:pPr>
        <w:pStyle w:val="17"/>
        <w:spacing w:beforeLines="0" w:before="93"/>
        <w:jc w:val="center"/>
        <w:rPr>
          <w:rFonts w:ascii="Times New Roman" w:eastAsia="方正小标宋简体" w:hAnsi="Times New Roman"/>
          <w:kern w:val="2"/>
          <w:sz w:val="44"/>
          <w:szCs w:val="44"/>
        </w:rPr>
      </w:pPr>
    </w:p>
    <w:p>
      <w:pPr>
        <w:pStyle w:val="17"/>
        <w:spacing w:beforeLines="0" w:before="93"/>
        <w:jc w:val="center"/>
        <w:rPr>
          <w:rFonts w:ascii="Times New Roman" w:eastAsia="方正小标宋简体" w:hAnsi="Times New Roman"/>
          <w:kern w:val="2"/>
          <w:sz w:val="44"/>
          <w:szCs w:val="44"/>
        </w:rPr>
      </w:pPr>
    </w:p>
    <w:p>
      <w:pPr>
        <w:pStyle w:val="17"/>
        <w:spacing w:beforeLines="0" w:before="93"/>
        <w:jc w:val="center"/>
        <w:rPr>
          <w:rFonts w:ascii="Times New Roman" w:eastAsia="方正小标宋简体" w:hAnsi="Times New Roman" w:hint="eastAsia"/>
          <w:kern w:val="2"/>
          <w:sz w:val="44"/>
          <w:szCs w:val="44"/>
        </w:rPr>
      </w:pPr>
      <w:bookmarkStart w:id="6" w:name="_Toc15377194"/>
      <w:bookmarkStart w:id="7" w:name="_Toc15378442"/>
      <w:bookmarkStart w:id="8" w:name="_Toc15377426"/>
      <w:bookmarkStart w:id="9" w:name="_Toc15396476"/>
      <w:bookmarkStart w:id="10" w:name="_Toc15396598"/>
      <w:bookmarkEnd w:id="0"/>
      <w:bookmarkEnd w:id="1"/>
      <w:bookmarkEnd w:id="2"/>
      <w:bookmarkEnd w:id="3"/>
      <w:bookmarkEnd w:id="4"/>
      <w:r>
        <w:rPr>
          <w:rFonts w:ascii="Times New Roman" w:eastAsia="方正小标宋简体" w:hAnsi="Times New Roman" w:hint="eastAsia"/>
          <w:kern w:val="2"/>
          <w:sz w:val="44"/>
          <w:szCs w:val="44"/>
        </w:rPr>
        <w:t>2025年度</w:t>
      </w:r>
    </w:p>
    <w:p>
      <w:pPr>
        <w:pStyle w:val="17"/>
        <w:spacing w:beforeLines="0" w:before="93"/>
        <w:jc w:val="center"/>
        <w:rPr>
          <w:rFonts w:eastAsia="黑体"/>
          <w:sz w:val="48"/>
          <w:szCs w:val="48"/>
        </w:rPr>
        <w:sectPr>
          <w:footerReference w:type="default" r:id="rId4"/>
          <w:footerReference w:type="first" r:id="rId5"/>
          <w:pgSz w:w="11906" w:h="16838"/>
          <w:pgMar w:top="1440" w:right="1800" w:bottom="1440" w:left="1800" w:header="851" w:footer="992" w:gutter="0"/>
          <w:pgNumType w:start="1"/>
          <w:titlePg/>
          <w:docGrid w:type="lines" w:linePitch="312" w:charSpace="0"/>
        </w:sectPr>
      </w:pPr>
      <w:r>
        <w:rPr>
          <w:rFonts w:ascii="Times New Roman" w:eastAsia="方正小标宋简体" w:hAnsi="Times New Roman" w:hint="eastAsia"/>
          <w:kern w:val="2"/>
          <w:sz w:val="44"/>
          <w:szCs w:val="44"/>
        </w:rPr>
        <w:t>攀枝花市</w:t>
      </w:r>
      <w:bookmarkStart w:id="11" w:name="_Toc15306268"/>
      <w:bookmarkEnd w:id="5"/>
      <w:r>
        <w:rPr>
          <w:rFonts w:ascii="Times New Roman" w:eastAsia="方正小标宋简体" w:hAnsi="Times New Roman" w:hint="eastAsia"/>
          <w:kern w:val="2"/>
          <w:sz w:val="44"/>
          <w:szCs w:val="44"/>
          <w:lang w:eastAsia="zh-CN"/>
        </w:rPr>
        <w:t>退役军人事务局</w:t>
      </w:r>
      <w:r>
        <w:rPr>
          <w:rFonts w:ascii="Times New Roman" w:eastAsia="方正小标宋简体" w:hAnsi="Times New Roman" w:hint="eastAsia"/>
          <w:kern w:val="2"/>
          <w:sz w:val="44"/>
          <w:szCs w:val="44"/>
        </w:rPr>
        <w:t>部门决算</w:t>
      </w:r>
      <w:bookmarkEnd w:id="6"/>
      <w:bookmarkEnd w:id="7"/>
      <w:bookmarkEnd w:id="8"/>
      <w:bookmarkEnd w:id="9"/>
      <w:bookmarkEnd w:id="10"/>
      <w:bookmarkEnd w:id="11"/>
    </w:p>
    <w:p>
      <w:pPr>
        <w:widowControl/>
        <w:jc w:val="both"/>
        <w:rPr>
          <w:rFonts w:eastAsia="黑体" w:hint="eastAsia"/>
          <w:sz w:val="48"/>
          <w:szCs w:val="48"/>
        </w:rPr>
      </w:pPr>
    </w:p>
    <w:p>
      <w:pPr>
        <w:widowControl/>
        <w:jc w:val="center"/>
        <w:rPr>
          <w:rFonts w:eastAsia="黑体" w:hint="eastAsia"/>
          <w:sz w:val="48"/>
          <w:szCs w:val="48"/>
        </w:rPr>
      </w:pPr>
      <w:r>
        <w:rPr>
          <w:rFonts w:eastAsia="黑体" w:hint="eastAsia"/>
          <w:sz w:val="48"/>
          <w:szCs w:val="48"/>
        </w:rPr>
        <w:t>目录</w:t>
      </w:r>
    </w:p>
    <w:p>
      <w:pPr>
        <w:pStyle w:val="16"/>
      </w:pPr>
    </w:p>
    <w:p>
      <w:pPr>
        <w:pStyle w:val="25"/>
        <w:tabs>
          <w:tab w:val="right" w:leader="dot" w:pos="8296"/>
        </w:tabs>
        <w:rPr>
          <w:rFonts w:ascii="Times New Roman" w:eastAsia="仿宋_GB2312" w:cs="仿宋_GB2312" w:hAnsi="Times New Roman" w:hint="eastAsia"/>
          <w:sz w:val="32"/>
          <w:szCs w:val="32"/>
        </w:rPr>
      </w:pPr>
      <w:r>
        <w:rPr>
          <w:rFonts w:ascii="Times New Roman" w:eastAsia="仿宋_GB2312" w:cs="仿宋_GB2312" w:hAnsi="Times New Roman" w:hint="eastAsia"/>
          <w:sz w:val="32"/>
          <w:szCs w:val="32"/>
        </w:rPr>
        <w:t>公开时间：2026年</w:t>
      </w:r>
      <w:r>
        <w:rPr>
          <w:rFonts w:ascii="Times New Roman" w:eastAsia="仿宋_GB2312" w:cs="仿宋_GB2312" w:hAnsi="Times New Roman"/>
          <w:sz w:val="32"/>
          <w:szCs w:val="32"/>
        </w:rPr>
        <w:t>9</w:t>
      </w:r>
      <w:r>
        <w:rPr>
          <w:rFonts w:ascii="Times New Roman" w:eastAsia="仿宋_GB2312" w:cs="仿宋_GB2312" w:hAnsi="Times New Roman" w:hint="eastAsia"/>
          <w:sz w:val="32"/>
          <w:szCs w:val="32"/>
        </w:rPr>
        <w:t>月</w:t>
      </w:r>
      <w:r>
        <w:rPr>
          <w:rFonts w:ascii="Times New Roman" w:eastAsia="仿宋_GB2312" w:cs="仿宋_GB2312" w:hAnsi="Times New Roman"/>
          <w:sz w:val="32"/>
          <w:szCs w:val="32"/>
        </w:rPr>
        <w:t>10</w:t>
      </w:r>
      <w:r>
        <w:rPr>
          <w:rFonts w:ascii="Times New Roman" w:eastAsia="仿宋_GB2312" w:cs="仿宋_GB2312" w:hAnsi="Times New Roman" w:hint="eastAsia"/>
          <w:sz w:val="32"/>
          <w:szCs w:val="32"/>
        </w:rPr>
        <w:t>日</w:t>
      </w:r>
    </w:p>
    <w:sdt>
      <w:sdtPr>
        <w:rPr>
          <w:rFonts w:ascii="宋体" w:eastAsia="宋体" w:cs="Times New Roman"/>
          <w:kern w:val="2"/>
          <w:sz w:val="21"/>
          <w:szCs w:val="24"/>
          <w:lang w:val="en-US" w:eastAsia="zh-CN" w:bidi="ar-SA"/>
        </w:rPr>
        <w:id w:val="-1015722088"/>
        <w:docPartObj>
          <w:docPartGallery w:val="Table of Contents"/>
          <w:docPartUnique/>
        </w:docPartObj>
      </w:sdtPr>
      <w:sdtEndPr>
        <w:rPr>
          <w:sz w:val="28"/>
          <w:szCs w:val="28"/>
        </w:rPr>
      </w:sdtEndPr>
      <w:sdtContent>
        <w:bookmarkStart w:id="12" w:name="_Toc1662582110_WPSOffice_Type2" w:displacedByCustomXml="prev"/>
        <w:p>
          <w:pPr>
            <w:spacing w:before="0" w:after="0" w:line="240" w:lineRule="auto"/>
            <w:ind w:left="0" w:right="0" w:firstLine="0"/>
            <w:jc w:val="center"/>
          </w:pPr>
        </w:p>
        <w:p>
          <w:pPr>
            <w:pStyle w:val="39"/>
            <w:tabs>
              <w:tab w:val="right" w:leader="dot" w:pos="8306"/>
            </w:tabs>
            <w:rPr>
              <w:sz w:val="24"/>
              <w:szCs w:val="24"/>
            </w:rPr>
          </w:pPr>
          <w:sdt>
            <w:sdtPr>
              <w:rPr>
                <w:rFonts w:ascii="Times New Roman" w:eastAsia="宋体" w:cs="Times New Roman" w:hAnsi="Times New Roman"/>
                <w:b/>
                <w:bCs/>
                <w:kern w:val="2"/>
                <w:sz w:val="24"/>
                <w:szCs w:val="24"/>
                <w:lang w:val="en-US" w:eastAsia="zh-CN" w:bidi="ar-SA"/>
              </w:rPr>
              <w:id w:val="-565899406"/>
              <w:placeholder>
                <w:docPart w:val="E99097383CB041CE8101684ED4CF4F0E"/>
              </w:placeholder>
            </w:sdtPr>
            <w:sdtContent>
              <w:r>
                <w:rPr>
                  <w:rFonts w:ascii="Times New Roman" w:eastAsia="宋体" w:cs="Times New Roman" w:hAnsi="Times New Roman" w:hint="eastAsia"/>
                  <w:b/>
                  <w:bCs/>
                  <w:sz w:val="24"/>
                  <w:szCs w:val="24"/>
                </w:rPr>
                <w:fldChar w:fldCharType="begin"/>
              </w:r>
              <w:r>
                <w:instrText>HYPERLINK  \l "_Toc383944496_WPSOffice_Level1"</w:instrText>
              </w:r>
              <w:r>
                <w:rPr>
                  <w:rFonts w:ascii="Times New Roman" w:eastAsia="宋体" w:cs="Times New Roman" w:hAnsi="Times New Roman" w:hint="eastAsia"/>
                  <w:b/>
                  <w:bCs/>
                  <w:sz w:val="24"/>
                  <w:szCs w:val="24"/>
                </w:rPr>
                <w:fldChar w:fldCharType="separate"/>
              </w:r>
              <w:r>
                <w:rPr>
                  <w:rFonts w:ascii="Times New Roman" w:eastAsia="宋体" w:cs="Times New Roman" w:hAnsi="Times New Roman" w:hint="eastAsia"/>
                  <w:b/>
                  <w:bCs/>
                  <w:sz w:val="24"/>
                  <w:szCs w:val="24"/>
                </w:rPr>
                <w:t>第一部分  部门概况</w:t>
              </w:r>
            </w:sdtContent>
          </w:sdt>
          <w:r>
            <w:rPr>
              <w:b/>
              <w:bCs/>
              <w:sz w:val="24"/>
              <w:szCs w:val="24"/>
            </w:rPr>
            <w:tab/>
          </w:r>
          <w:r>
            <w:rPr>
              <w:b/>
              <w:bCs/>
              <w:sz w:val="24"/>
              <w:szCs w:val="24"/>
            </w:rPr>
            <w:t>5</w:t>
          </w:r>
          <w:r>
            <w:rPr>
              <w:rFonts w:ascii="Times New Roman" w:eastAsia="宋体" w:cs="Times New Roman" w:hAnsi="Times New Roman" w:hint="eastAsia"/>
              <w:b/>
              <w:bCs/>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1008642255"/>
              <w:placeholder>
                <w:docPart w:val="E99097383CB041CE8101684ED4CF4F0E"/>
              </w:placeholder>
            </w:sdtPr>
            <w:sdtContent>
              <w:r>
                <w:rPr>
                  <w:rFonts w:ascii="Cambria" w:eastAsia="宋体" w:cs="Times New Roman" w:hAnsi="Cambria" w:hint="eastAsia"/>
                  <w:sz w:val="24"/>
                  <w:szCs w:val="24"/>
                </w:rPr>
                <w:fldChar w:fldCharType="begin"/>
              </w:r>
              <w:r>
                <w:instrText>HYPERLINK  \l "_Toc1662582110_WPSOffice_Level2"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一、部门职责</w:t>
              </w:r>
            </w:sdtContent>
          </w:sdt>
          <w:r>
            <w:rPr>
              <w:sz w:val="24"/>
              <w:szCs w:val="24"/>
            </w:rPr>
            <w:tab/>
          </w:r>
          <w:r>
            <w:rPr>
              <w:sz w:val="24"/>
              <w:szCs w:val="24"/>
            </w:rPr>
            <w:t>5</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1955904552"/>
              <w:placeholder>
                <w:docPart w:val="E99097383CB041CE8101684ED4CF4F0E"/>
              </w:placeholder>
            </w:sdtPr>
            <w:sdtContent>
              <w:r>
                <w:rPr>
                  <w:rFonts w:ascii="Cambria" w:eastAsia="宋体" w:cs="Times New Roman" w:hAnsi="Cambria" w:hint="eastAsia"/>
                  <w:sz w:val="24"/>
                  <w:szCs w:val="24"/>
                </w:rPr>
                <w:fldChar w:fldCharType="begin"/>
              </w:r>
              <w:r>
                <w:instrText>HYPERLINK  \l "_Toc136340519_WPSOffice_Level2"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二、机构设置</w:t>
              </w:r>
            </w:sdtContent>
          </w:sdt>
          <w:r>
            <w:rPr>
              <w:sz w:val="24"/>
              <w:szCs w:val="24"/>
            </w:rPr>
            <w:tab/>
          </w:r>
          <w:r>
            <w:rPr>
              <w:sz w:val="24"/>
              <w:szCs w:val="24"/>
            </w:rPr>
            <w:t>6</w:t>
          </w:r>
          <w:r>
            <w:rPr>
              <w:rFonts w:ascii="Cambria" w:eastAsia="宋体" w:cs="Times New Roman" w:hAnsi="Cambria" w:hint="eastAsia"/>
              <w:sz w:val="24"/>
              <w:szCs w:val="24"/>
            </w:rPr>
            <w:fldChar w:fldCharType="end"/>
          </w:r>
        </w:p>
        <w:p>
          <w:pPr>
            <w:pStyle w:val="39"/>
            <w:tabs>
              <w:tab w:val="right" w:leader="dot" w:pos="8306"/>
            </w:tabs>
            <w:rPr>
              <w:sz w:val="24"/>
              <w:szCs w:val="24"/>
            </w:rPr>
          </w:pPr>
          <w:sdt>
            <w:sdtPr>
              <w:rPr>
                <w:rFonts w:ascii="Times New Roman" w:eastAsia="宋体" w:cs="Times New Roman" w:hAnsi="Times New Roman"/>
                <w:b/>
                <w:bCs/>
                <w:kern w:val="2"/>
                <w:sz w:val="24"/>
                <w:szCs w:val="24"/>
                <w:lang w:val="en-US" w:eastAsia="zh-CN" w:bidi="ar-SA"/>
              </w:rPr>
              <w:id w:val="851033831"/>
              <w:placeholder>
                <w:docPart w:val="E99097383CB041CE8101684ED4CF4F0E"/>
              </w:placeholder>
            </w:sdtPr>
            <w:sdtContent>
              <w:r>
                <w:rPr>
                  <w:rFonts w:ascii="Times New Roman" w:eastAsia="宋体" w:cs="Times New Roman" w:hAnsi="Times New Roman" w:hint="eastAsia"/>
                  <w:b/>
                  <w:bCs/>
                  <w:sz w:val="24"/>
                  <w:szCs w:val="24"/>
                </w:rPr>
                <w:fldChar w:fldCharType="begin"/>
              </w:r>
              <w:r>
                <w:instrText>HYPERLINK  \l "_Toc1662582110_WPSOffice_Level1"</w:instrText>
              </w:r>
              <w:r>
                <w:rPr>
                  <w:rFonts w:ascii="Times New Roman" w:eastAsia="宋体" w:cs="Times New Roman" w:hAnsi="Times New Roman" w:hint="eastAsia"/>
                  <w:b/>
                  <w:bCs/>
                  <w:sz w:val="24"/>
                  <w:szCs w:val="24"/>
                </w:rPr>
                <w:fldChar w:fldCharType="separate"/>
              </w:r>
              <w:r>
                <w:rPr>
                  <w:rFonts w:ascii="Times New Roman" w:eastAsia="宋体" w:cs="Times New Roman" w:hAnsi="Times New Roman" w:hint="eastAsia"/>
                  <w:b/>
                  <w:bCs/>
                  <w:sz w:val="24"/>
                  <w:szCs w:val="24"/>
                </w:rPr>
                <w:t>第二部分  2025年度部门决算情况说明</w:t>
              </w:r>
            </w:sdtContent>
          </w:sdt>
          <w:r>
            <w:rPr>
              <w:b/>
              <w:bCs/>
              <w:sz w:val="24"/>
              <w:szCs w:val="24"/>
            </w:rPr>
            <w:tab/>
          </w:r>
          <w:r>
            <w:rPr>
              <w:b/>
              <w:bCs/>
              <w:sz w:val="24"/>
              <w:szCs w:val="24"/>
            </w:rPr>
            <w:t>6</w:t>
          </w:r>
          <w:r>
            <w:rPr>
              <w:rFonts w:ascii="Times New Roman" w:eastAsia="宋体" w:cs="Times New Roman" w:hAnsi="Times New Roman" w:hint="eastAsia"/>
              <w:b/>
              <w:bCs/>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1415346298"/>
              <w:placeholder>
                <w:docPart w:val="E99097383CB041CE8101684ED4CF4F0E"/>
              </w:placeholder>
            </w:sdtPr>
            <w:sdtContent>
              <w:r>
                <w:rPr>
                  <w:rFonts w:ascii="Cambria" w:eastAsia="宋体" w:cs="Times New Roman" w:hAnsi="Cambria" w:hint="eastAsia"/>
                  <w:sz w:val="24"/>
                  <w:szCs w:val="24"/>
                </w:rPr>
                <w:fldChar w:fldCharType="begin"/>
              </w:r>
              <w:r>
                <w:instrText>HYPERLINK  \l "_Toc1851460344_WPSOffice_Level2"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一、收入支出决算总体情况说明</w:t>
              </w:r>
            </w:sdtContent>
          </w:sdt>
          <w:r>
            <w:rPr>
              <w:sz w:val="24"/>
              <w:szCs w:val="24"/>
            </w:rPr>
            <w:tab/>
          </w:r>
          <w:r>
            <w:rPr>
              <w:sz w:val="24"/>
              <w:szCs w:val="24"/>
            </w:rPr>
            <w:t>6</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1389815183"/>
              <w:placeholder>
                <w:docPart w:val="E99097383CB041CE8101684ED4CF4F0E"/>
              </w:placeholder>
            </w:sdtPr>
            <w:sdtContent>
              <w:r>
                <w:rPr>
                  <w:rFonts w:ascii="Cambria" w:eastAsia="宋体" w:cs="Times New Roman" w:hAnsi="Cambria" w:hint="eastAsia"/>
                  <w:sz w:val="24"/>
                  <w:szCs w:val="24"/>
                </w:rPr>
                <w:fldChar w:fldCharType="begin"/>
              </w:r>
              <w:r>
                <w:instrText>HYPERLINK  \l "_Toc252951863_WPSOffice_Level2"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二、收入决算情况说明</w:t>
              </w:r>
            </w:sdtContent>
          </w:sdt>
          <w:r>
            <w:rPr>
              <w:sz w:val="24"/>
              <w:szCs w:val="24"/>
            </w:rPr>
            <w:tab/>
          </w:r>
          <w:r>
            <w:rPr>
              <w:sz w:val="24"/>
              <w:szCs w:val="24"/>
            </w:rPr>
            <w:t>7</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923446012"/>
              <w:placeholder>
                <w:docPart w:val="E99097383CB041CE8101684ED4CF4F0E"/>
              </w:placeholder>
            </w:sdtPr>
            <w:sdtContent>
              <w:r>
                <w:rPr>
                  <w:rFonts w:ascii="Cambria" w:eastAsia="宋体" w:cs="Times New Roman" w:hAnsi="Cambria" w:hint="eastAsia"/>
                  <w:sz w:val="24"/>
                  <w:szCs w:val="24"/>
                </w:rPr>
                <w:fldChar w:fldCharType="begin"/>
              </w:r>
              <w:r>
                <w:instrText>HYPERLINK  \l "_Toc379065456_WPSOffice_Level2"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三、支出决算情况说明</w:t>
              </w:r>
            </w:sdtContent>
          </w:sdt>
          <w:r>
            <w:rPr>
              <w:sz w:val="24"/>
              <w:szCs w:val="24"/>
            </w:rPr>
            <w:tab/>
          </w:r>
          <w:r>
            <w:rPr>
              <w:sz w:val="24"/>
              <w:szCs w:val="24"/>
            </w:rPr>
            <w:t>7</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1665471845"/>
              <w:placeholder>
                <w:docPart w:val="E99097383CB041CE8101684ED4CF4F0E"/>
              </w:placeholder>
            </w:sdtPr>
            <w:sdtContent>
              <w:r>
                <w:rPr>
                  <w:rFonts w:ascii="Cambria" w:eastAsia="宋体" w:cs="Times New Roman" w:hAnsi="Cambria" w:hint="eastAsia"/>
                  <w:sz w:val="24"/>
                  <w:szCs w:val="24"/>
                </w:rPr>
                <w:fldChar w:fldCharType="begin"/>
              </w:r>
              <w:r>
                <w:instrText>HYPERLINK  \l "_Toc1665460717_WPSOffice_Level2"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四、财政拨款收入支出决算总体情况说明</w:t>
              </w:r>
            </w:sdtContent>
          </w:sdt>
          <w:r>
            <w:rPr>
              <w:sz w:val="24"/>
              <w:szCs w:val="24"/>
            </w:rPr>
            <w:tab/>
          </w:r>
          <w:r>
            <w:rPr>
              <w:sz w:val="24"/>
              <w:szCs w:val="24"/>
            </w:rPr>
            <w:t>8</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1962526066"/>
              <w:placeholder>
                <w:docPart w:val="E99097383CB041CE8101684ED4CF4F0E"/>
              </w:placeholder>
            </w:sdtPr>
            <w:sdtContent>
              <w:r>
                <w:rPr>
                  <w:rFonts w:ascii="Cambria" w:eastAsia="宋体" w:cs="Times New Roman" w:hAnsi="Cambria" w:hint="eastAsia"/>
                  <w:sz w:val="24"/>
                  <w:szCs w:val="24"/>
                </w:rPr>
                <w:fldChar w:fldCharType="begin"/>
              </w:r>
              <w:r>
                <w:instrText>HYPERLINK  \l "_Toc1106470594_WPSOffice_Level2"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五、一般公共预算财政拨款支出决算情况说明</w:t>
              </w:r>
            </w:sdtContent>
          </w:sdt>
          <w:r>
            <w:rPr>
              <w:sz w:val="24"/>
              <w:szCs w:val="24"/>
            </w:rPr>
            <w:tab/>
          </w:r>
          <w:r>
            <w:rPr>
              <w:sz w:val="24"/>
              <w:szCs w:val="24"/>
            </w:rPr>
            <w:t>9</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726704283"/>
              <w:placeholder>
                <w:docPart w:val="E99097383CB041CE8101684ED4CF4F0E"/>
              </w:placeholder>
            </w:sdtPr>
            <w:sdtContent>
              <w:r>
                <w:rPr>
                  <w:rFonts w:ascii="Cambria" w:eastAsia="宋体" w:cs="Times New Roman" w:hAnsi="Cambria" w:hint="eastAsia"/>
                  <w:sz w:val="24"/>
                  <w:szCs w:val="24"/>
                </w:rPr>
                <w:fldChar w:fldCharType="begin"/>
              </w:r>
              <w:r>
                <w:instrText>HYPERLINK  \l "_Toc1263795325_WPSOffice_Level2"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六、一般公共预算财政拨款基本支出决算情况说明</w:t>
              </w:r>
            </w:sdtContent>
          </w:sdt>
          <w:r>
            <w:rPr>
              <w:sz w:val="24"/>
              <w:szCs w:val="24"/>
            </w:rPr>
            <w:tab/>
          </w:r>
          <w:bookmarkStart w:id="13" w:name="_Toc1263795325_WPSOffice_Level2Page"/>
          <w:r>
            <w:rPr>
              <w:sz w:val="24"/>
              <w:szCs w:val="24"/>
            </w:rPr>
            <w:t>1</w:t>
          </w:r>
          <w:bookmarkEnd w:id="13"/>
          <w:r>
            <w:rPr>
              <w:sz w:val="24"/>
              <w:szCs w:val="24"/>
            </w:rPr>
            <w:t>4</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1299965742"/>
              <w:placeholder>
                <w:docPart w:val="E99097383CB041CE8101684ED4CF4F0E"/>
              </w:placeholder>
            </w:sdtPr>
            <w:sdtContent>
              <w:r>
                <w:rPr>
                  <w:rFonts w:ascii="Cambria" w:eastAsia="宋体" w:cs="Times New Roman" w:hAnsi="Cambria" w:hint="eastAsia"/>
                  <w:sz w:val="24"/>
                  <w:szCs w:val="24"/>
                </w:rPr>
                <w:fldChar w:fldCharType="begin"/>
              </w:r>
              <w:r>
                <w:instrText>HYPERLINK  \l "_Toc2084238223_WPSOffice_Level2"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七、财政拨款“三公”经费支出决算情况说明</w:t>
              </w:r>
            </w:sdtContent>
          </w:sdt>
          <w:r>
            <w:rPr>
              <w:sz w:val="24"/>
              <w:szCs w:val="24"/>
            </w:rPr>
            <w:tab/>
          </w:r>
          <w:bookmarkStart w:id="14" w:name="_Toc2084238223_WPSOffice_Level2Page"/>
          <w:r>
            <w:rPr>
              <w:sz w:val="24"/>
              <w:szCs w:val="24"/>
            </w:rPr>
            <w:t>1</w:t>
          </w:r>
          <w:bookmarkEnd w:id="14"/>
          <w:r>
            <w:rPr>
              <w:sz w:val="24"/>
              <w:szCs w:val="24"/>
            </w:rPr>
            <w:t>5</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637803372"/>
              <w:placeholder>
                <w:docPart w:val="E99097383CB041CE8101684ED4CF4F0E"/>
              </w:placeholder>
            </w:sdtPr>
            <w:sdtContent>
              <w:r>
                <w:rPr>
                  <w:rFonts w:ascii="Cambria" w:eastAsia="宋体" w:cs="Times New Roman" w:hAnsi="Cambria" w:hint="eastAsia"/>
                  <w:sz w:val="24"/>
                  <w:szCs w:val="24"/>
                </w:rPr>
                <w:fldChar w:fldCharType="begin"/>
              </w:r>
              <w:r>
                <w:instrText>HYPERLINK  \l "_Toc2074837851_WPSOffice_Level2"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八、政府性基金预算支出决算情况说明</w:t>
              </w:r>
            </w:sdtContent>
          </w:sdt>
          <w:r>
            <w:rPr>
              <w:sz w:val="24"/>
              <w:szCs w:val="24"/>
            </w:rPr>
            <w:tab/>
          </w:r>
          <w:bookmarkStart w:id="15" w:name="_Toc2074837851_WPSOffice_Level2Page"/>
          <w:r>
            <w:rPr>
              <w:sz w:val="24"/>
              <w:szCs w:val="24"/>
            </w:rPr>
            <w:t>1</w:t>
          </w:r>
          <w:bookmarkEnd w:id="15"/>
          <w:r>
            <w:rPr>
              <w:sz w:val="24"/>
              <w:szCs w:val="24"/>
            </w:rPr>
            <w:t>7</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578367162"/>
              <w:placeholder>
                <w:docPart w:val="E99097383CB041CE8101684ED4CF4F0E"/>
              </w:placeholder>
            </w:sdtPr>
            <w:sdtContent>
              <w:r>
                <w:rPr>
                  <w:rFonts w:ascii="Cambria" w:eastAsia="宋体" w:cs="Times New Roman" w:hAnsi="Cambria" w:hint="eastAsia"/>
                  <w:sz w:val="24"/>
                  <w:szCs w:val="24"/>
                </w:rPr>
                <w:fldChar w:fldCharType="begin"/>
              </w:r>
              <w:r>
                <w:instrText>HYPERLINK  \l "_Toc2119900506_WPSOffice_Level2"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九、国有资本经营预算支出决算情况说明</w:t>
              </w:r>
            </w:sdtContent>
          </w:sdt>
          <w:r>
            <w:rPr>
              <w:sz w:val="24"/>
              <w:szCs w:val="24"/>
            </w:rPr>
            <w:tab/>
          </w:r>
          <w:bookmarkStart w:id="16" w:name="_Toc2119900506_WPSOffice_Level2Page"/>
          <w:r>
            <w:rPr>
              <w:sz w:val="24"/>
              <w:szCs w:val="24"/>
            </w:rPr>
            <w:t>1</w:t>
          </w:r>
          <w:bookmarkEnd w:id="16"/>
          <w:r>
            <w:rPr>
              <w:sz w:val="24"/>
              <w:szCs w:val="24"/>
            </w:rPr>
            <w:t>8</w:t>
          </w:r>
          <w:r>
            <w:rPr>
              <w:rFonts w:ascii="Cambria" w:eastAsia="宋体" w:cs="Times New Roman" w:hAnsi="Cambria" w:hint="eastAsia"/>
              <w:sz w:val="24"/>
              <w:szCs w:val="24"/>
            </w:rPr>
            <w:fldChar w:fldCharType="end"/>
          </w:r>
        </w:p>
        <w:p>
          <w:pPr>
            <w:pStyle w:val="40"/>
            <w:tabs>
              <w:tab w:val="right" w:leader="dot" w:pos="8306"/>
            </w:tabs>
            <w:rPr>
              <w:sz w:val="24"/>
              <w:szCs w:val="24"/>
            </w:rPr>
          </w:pPr>
          <w:sdt>
            <w:sdtPr>
              <w:rPr>
                <w:rFonts w:ascii="Times New Roman" w:eastAsia="宋体" w:cs="Times New Roman" w:hAnsi="Times New Roman"/>
                <w:kern w:val="2"/>
                <w:sz w:val="24"/>
                <w:szCs w:val="24"/>
                <w:lang w:val="en-US" w:eastAsia="zh-CN" w:bidi="ar-SA"/>
              </w:rPr>
              <w:id w:val="1415678955"/>
              <w:placeholder>
                <w:docPart w:val="E99097383CB041CE8101684ED4CF4F0E"/>
              </w:placeholder>
            </w:sdtPr>
            <w:sdtContent>
              <w:r>
                <w:rPr>
                  <w:rFonts w:ascii="Cambria" w:eastAsia="宋体" w:cs="Times New Roman" w:hAnsi="Cambria" w:hint="eastAsia"/>
                  <w:sz w:val="24"/>
                  <w:szCs w:val="24"/>
                </w:rPr>
                <w:fldChar w:fldCharType="begin"/>
              </w:r>
              <w:r>
                <w:instrText>HYPERLINK  \l "_Toc915385887_WPSOffice_Level2"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十、其他重要事项的情况说明</w:t>
              </w:r>
            </w:sdtContent>
          </w:sdt>
          <w:r>
            <w:rPr>
              <w:rFonts w:ascii="Times New Roman" w:eastAsia="宋体" w:cs="Times New Roman" w:hAnsi="Times New Roman"/>
              <w:kern w:val="2"/>
              <w:sz w:val="24"/>
              <w:szCs w:val="24"/>
              <w:lang w:eastAsia="zh-CN" w:bidi="ar-SA"/>
            </w:rPr>
            <w:t>3</w:t>
          </w:r>
          <w:r>
            <w:rPr>
              <w:sz w:val="24"/>
              <w:szCs w:val="24"/>
            </w:rPr>
            <w:tab/>
          </w:r>
          <w:bookmarkStart w:id="17" w:name="_Toc915385887_WPSOffice_Level2Page"/>
          <w:r>
            <w:rPr>
              <w:sz w:val="24"/>
              <w:szCs w:val="24"/>
            </w:rPr>
            <w:t>1</w:t>
          </w:r>
          <w:bookmarkEnd w:id="17"/>
          <w:r>
            <w:rPr>
              <w:sz w:val="24"/>
              <w:szCs w:val="24"/>
            </w:rPr>
            <w:t>8</w:t>
          </w:r>
          <w:r>
            <w:rPr>
              <w:rFonts w:ascii="Cambria" w:eastAsia="宋体" w:cs="Times New Roman" w:hAnsi="Cambria" w:hint="eastAsia"/>
              <w:sz w:val="24"/>
              <w:szCs w:val="24"/>
            </w:rPr>
            <w:fldChar w:fldCharType="end"/>
          </w:r>
        </w:p>
        <w:p>
          <w:pPr>
            <w:pStyle w:val="39"/>
            <w:tabs>
              <w:tab w:val="right" w:leader="dot" w:pos="8306"/>
            </w:tabs>
            <w:rPr>
              <w:sz w:val="24"/>
              <w:szCs w:val="24"/>
            </w:rPr>
          </w:pPr>
          <w:sdt>
            <w:sdtPr>
              <w:rPr>
                <w:rFonts w:ascii="Times New Roman" w:eastAsia="宋体" w:cs="Times New Roman" w:hAnsi="Times New Roman"/>
                <w:b/>
                <w:bCs/>
                <w:kern w:val="2"/>
                <w:sz w:val="24"/>
                <w:szCs w:val="24"/>
                <w:lang w:val="en-US" w:eastAsia="zh-CN" w:bidi="ar-SA"/>
              </w:rPr>
              <w:id w:val="1917812653"/>
              <w:placeholder>
                <w:docPart w:val="E99097383CB041CE8101684ED4CF4F0E"/>
              </w:placeholder>
            </w:sdtPr>
            <w:sdtContent>
              <w:r>
                <w:rPr>
                  <w:rFonts w:ascii="Times New Roman" w:eastAsia="宋体" w:cs="Times New Roman" w:hAnsi="Times New Roman" w:hint="eastAsia"/>
                  <w:b/>
                  <w:bCs/>
                  <w:sz w:val="24"/>
                  <w:szCs w:val="24"/>
                </w:rPr>
                <w:fldChar w:fldCharType="begin"/>
              </w:r>
              <w:r>
                <w:instrText>HYPERLINK  \l "_Toc136340519_WPSOffice_Level1"</w:instrText>
              </w:r>
              <w:r>
                <w:rPr>
                  <w:rFonts w:ascii="Times New Roman" w:eastAsia="宋体" w:cs="Times New Roman" w:hAnsi="Times New Roman" w:hint="eastAsia"/>
                  <w:b/>
                  <w:bCs/>
                  <w:sz w:val="24"/>
                  <w:szCs w:val="24"/>
                </w:rPr>
                <w:fldChar w:fldCharType="separate"/>
              </w:r>
              <w:r>
                <w:rPr>
                  <w:rFonts w:ascii="Times New Roman" w:eastAsia="宋体" w:cs="Times New Roman" w:hAnsi="Times New Roman" w:hint="eastAsia"/>
                  <w:b/>
                  <w:bCs/>
                  <w:sz w:val="24"/>
                  <w:szCs w:val="24"/>
                </w:rPr>
                <w:t>第三部分  名词解释</w:t>
              </w:r>
            </w:sdtContent>
          </w:sdt>
          <w:r>
            <w:rPr>
              <w:b/>
              <w:bCs/>
              <w:sz w:val="24"/>
              <w:szCs w:val="24"/>
            </w:rPr>
            <w:tab/>
          </w:r>
          <w:bookmarkStart w:id="18" w:name="_Toc136340519_WPSOffice_Level1Page"/>
          <w:r>
            <w:rPr>
              <w:b/>
              <w:bCs/>
              <w:sz w:val="24"/>
              <w:szCs w:val="24"/>
            </w:rPr>
            <w:t>2</w:t>
          </w:r>
          <w:bookmarkEnd w:id="18"/>
          <w:r>
            <w:rPr>
              <w:b/>
              <w:bCs/>
              <w:sz w:val="24"/>
              <w:szCs w:val="24"/>
            </w:rPr>
            <w:t>2</w:t>
          </w:r>
          <w:r>
            <w:rPr>
              <w:rFonts w:ascii="Times New Roman" w:eastAsia="宋体" w:cs="Times New Roman" w:hAnsi="Times New Roman" w:hint="eastAsia"/>
              <w:b/>
              <w:bCs/>
              <w:sz w:val="24"/>
              <w:szCs w:val="24"/>
            </w:rPr>
            <w:fldChar w:fldCharType="end"/>
          </w:r>
        </w:p>
        <w:p>
          <w:pPr>
            <w:pStyle w:val="39"/>
            <w:tabs>
              <w:tab w:val="right" w:leader="dot" w:pos="8306"/>
            </w:tabs>
            <w:rPr>
              <w:sz w:val="24"/>
              <w:szCs w:val="24"/>
            </w:rPr>
          </w:pPr>
          <w:sdt>
            <w:sdtPr>
              <w:rPr>
                <w:rFonts w:ascii="Times New Roman" w:eastAsia="宋体" w:cs="Times New Roman" w:hAnsi="Times New Roman"/>
                <w:b/>
                <w:bCs/>
                <w:kern w:val="2"/>
                <w:sz w:val="24"/>
                <w:szCs w:val="24"/>
                <w:lang w:val="en-US" w:eastAsia="zh-CN" w:bidi="ar-SA"/>
              </w:rPr>
              <w:id w:val="-1307858495"/>
              <w:placeholder>
                <w:docPart w:val="E99097383CB041CE8101684ED4CF4F0E"/>
              </w:placeholder>
            </w:sdtPr>
            <w:sdtContent>
              <w:r>
                <w:rPr>
                  <w:rFonts w:ascii="Times New Roman" w:eastAsia="宋体" w:cs="Times New Roman" w:hAnsi="Times New Roman" w:hint="eastAsia"/>
                  <w:b/>
                  <w:bCs/>
                  <w:sz w:val="24"/>
                  <w:szCs w:val="24"/>
                </w:rPr>
                <w:fldChar w:fldCharType="begin"/>
              </w:r>
              <w:r>
                <w:instrText>HYPERLINK  \l "_Toc1851460344_WPSOffice_Level1"</w:instrText>
              </w:r>
              <w:r>
                <w:rPr>
                  <w:rFonts w:ascii="Times New Roman" w:eastAsia="宋体" w:cs="Times New Roman" w:hAnsi="Times New Roman" w:hint="eastAsia"/>
                  <w:b/>
                  <w:bCs/>
                  <w:sz w:val="24"/>
                  <w:szCs w:val="24"/>
                </w:rPr>
                <w:fldChar w:fldCharType="separate"/>
              </w:r>
              <w:r>
                <w:rPr>
                  <w:rFonts w:ascii="Times New Roman" w:eastAsia="宋体" w:cs="Times New Roman" w:hAnsi="Times New Roman" w:hint="eastAsia"/>
                  <w:b/>
                  <w:bCs/>
                  <w:sz w:val="24"/>
                  <w:szCs w:val="24"/>
                </w:rPr>
                <w:t>第四部分  附件</w:t>
              </w:r>
            </w:sdtContent>
          </w:sdt>
          <w:r>
            <w:rPr>
              <w:b/>
              <w:bCs/>
              <w:sz w:val="24"/>
              <w:szCs w:val="24"/>
            </w:rPr>
            <w:tab/>
          </w:r>
          <w:bookmarkStart w:id="19" w:name="_Toc1851460344_WPSOffice_Level1Page"/>
          <w:r>
            <w:rPr>
              <w:b/>
              <w:bCs/>
              <w:sz w:val="24"/>
              <w:szCs w:val="24"/>
            </w:rPr>
            <w:t>2</w:t>
          </w:r>
          <w:bookmarkEnd w:id="19"/>
          <w:r>
            <w:rPr>
              <w:b/>
              <w:bCs/>
              <w:sz w:val="24"/>
              <w:szCs w:val="24"/>
            </w:rPr>
            <w:t>7</w:t>
          </w:r>
          <w:r>
            <w:rPr>
              <w:rFonts w:ascii="Times New Roman" w:eastAsia="宋体" w:cs="Times New Roman" w:hAnsi="Times New Roman" w:hint="eastAsia"/>
              <w:b/>
              <w:bCs/>
              <w:sz w:val="24"/>
              <w:szCs w:val="24"/>
            </w:rPr>
            <w:fldChar w:fldCharType="end"/>
          </w:r>
        </w:p>
        <w:p>
          <w:pPr>
            <w:pStyle w:val="39"/>
            <w:tabs>
              <w:tab w:val="right" w:leader="dot" w:pos="8306"/>
            </w:tabs>
            <w:rPr>
              <w:sz w:val="24"/>
              <w:szCs w:val="24"/>
            </w:rPr>
          </w:pPr>
          <w:sdt>
            <w:sdtPr>
              <w:rPr>
                <w:rFonts w:ascii="Times New Roman" w:eastAsia="宋体" w:cs="Times New Roman" w:hAnsi="Times New Roman"/>
                <w:b/>
                <w:bCs/>
                <w:kern w:val="2"/>
                <w:sz w:val="24"/>
                <w:szCs w:val="24"/>
                <w:lang w:val="en-US" w:eastAsia="zh-CN" w:bidi="ar-SA"/>
              </w:rPr>
              <w:id w:val="-1826393221"/>
              <w:placeholder>
                <w:docPart w:val="E99097383CB041CE8101684ED4CF4F0E"/>
              </w:placeholder>
            </w:sdtPr>
            <w:sdtContent>
              <w:r>
                <w:rPr>
                  <w:rFonts w:ascii="Times New Roman" w:eastAsia="宋体" w:cs="Times New Roman" w:hAnsi="Times New Roman" w:hint="eastAsia"/>
                  <w:b/>
                  <w:bCs/>
                  <w:sz w:val="24"/>
                  <w:szCs w:val="24"/>
                </w:rPr>
                <w:fldChar w:fldCharType="begin"/>
              </w:r>
              <w:r>
                <w:instrText>HYPERLINK  \l "_Toc252951863_WPSOffice_Level1"</w:instrText>
              </w:r>
              <w:r>
                <w:rPr>
                  <w:rFonts w:ascii="Times New Roman" w:eastAsia="宋体" w:cs="Times New Roman" w:hAnsi="Times New Roman" w:hint="eastAsia"/>
                  <w:b/>
                  <w:bCs/>
                  <w:sz w:val="24"/>
                  <w:szCs w:val="24"/>
                </w:rPr>
                <w:fldChar w:fldCharType="separate"/>
              </w:r>
              <w:r>
                <w:rPr>
                  <w:rFonts w:ascii="Times New Roman" w:eastAsia="宋体" w:cs="Times New Roman" w:hAnsi="Times New Roman" w:hint="eastAsia"/>
                  <w:b/>
                  <w:bCs/>
                  <w:sz w:val="24"/>
                  <w:szCs w:val="24"/>
                </w:rPr>
                <w:t>第五部分 附表</w:t>
              </w:r>
            </w:sdtContent>
          </w:sdt>
          <w:r>
            <w:rPr>
              <w:b/>
              <w:bCs/>
              <w:sz w:val="24"/>
              <w:szCs w:val="24"/>
            </w:rPr>
            <w:tab/>
          </w:r>
          <w:bookmarkStart w:id="20" w:name="_Toc252951863_WPSOffice_Level1Page"/>
          <w:r>
            <w:rPr>
              <w:b/>
              <w:bCs/>
              <w:sz w:val="24"/>
              <w:szCs w:val="24"/>
            </w:rPr>
            <w:t>9</w:t>
          </w:r>
          <w:bookmarkEnd w:id="20"/>
          <w:r>
            <w:rPr>
              <w:b/>
              <w:bCs/>
              <w:sz w:val="24"/>
              <w:szCs w:val="24"/>
            </w:rPr>
            <w:t>4</w:t>
          </w:r>
          <w:r>
            <w:rPr>
              <w:rFonts w:ascii="Times New Roman" w:eastAsia="宋体" w:cs="Times New Roman" w:hAnsi="Times New Roman" w:hint="eastAsia"/>
              <w:b/>
              <w:bCs/>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2084124804"/>
              <w:placeholder>
                <w:docPart w:val="E99097383CB041CE8101684ED4CF4F0E"/>
              </w:placeholder>
            </w:sdtPr>
            <w:sdtContent>
              <w:r>
                <w:rPr>
                  <w:rFonts w:ascii="Cambria" w:eastAsia="宋体" w:cs="Times New Roman" w:hAnsi="Cambria" w:hint="eastAsia"/>
                  <w:sz w:val="24"/>
                  <w:szCs w:val="24"/>
                </w:rPr>
                <w:fldChar w:fldCharType="begin"/>
              </w:r>
              <w:r>
                <w:instrText>HYPERLINK  \l "_Toc840748137_WPSOffice_Level2"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一、收入支出决算总表</w:t>
              </w:r>
            </w:sdtContent>
          </w:sdt>
          <w:r>
            <w:rPr>
              <w:rFonts w:ascii="Cambria" w:eastAsia="宋体" w:cs="Times New Roman" w:hAnsi="Cambria" w:hint="eastAsia"/>
              <w:sz w:val="24"/>
              <w:szCs w:val="24"/>
            </w:rPr>
            <w:tab/>
          </w:r>
          <w:bookmarkStart w:id="21" w:name="_Toc840748137_WPSOffice_Level2Page"/>
          <w:r>
            <w:rPr>
              <w:rFonts w:ascii="Cambria" w:eastAsia="宋体" w:cs="Times New Roman" w:hAnsi="Cambria" w:hint="eastAsia"/>
              <w:sz w:val="24"/>
              <w:szCs w:val="24"/>
            </w:rPr>
            <w:t>9</w:t>
          </w:r>
          <w:bookmarkEnd w:id="21"/>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79658175"/>
              <w:placeholder>
                <w:docPart w:val="E99097383CB041CE8101684ED4CF4F0E"/>
              </w:placeholder>
            </w:sdtPr>
            <w:sdtContent>
              <w:r>
                <w:rPr>
                  <w:rFonts w:ascii="Cambria" w:eastAsia="宋体" w:cs="Times New Roman" w:hAnsi="Cambria" w:hint="eastAsia"/>
                  <w:sz w:val="24"/>
                  <w:szCs w:val="24"/>
                </w:rPr>
                <w:fldChar w:fldCharType="begin"/>
              </w:r>
              <w:r>
                <w:instrText>HYPERLINK  \l "_Toc450815670_WPSOffice_Level2"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二、收入决算表</w:t>
              </w:r>
            </w:sdtContent>
          </w:sdt>
          <w:r>
            <w:rPr>
              <w:rFonts w:ascii="Cambria" w:eastAsia="宋体" w:cs="Times New Roman" w:hAnsi="Cambria" w:hint="eastAsia"/>
              <w:sz w:val="24"/>
              <w:szCs w:val="24"/>
            </w:rPr>
            <w:tab/>
          </w:r>
          <w:bookmarkStart w:id="22" w:name="_Toc450815670_WPSOffice_Level2Page"/>
          <w:r>
            <w:rPr>
              <w:rFonts w:ascii="Cambria" w:eastAsia="宋体" w:cs="Times New Roman" w:hAnsi="Cambria" w:hint="eastAsia"/>
              <w:sz w:val="24"/>
              <w:szCs w:val="24"/>
            </w:rPr>
            <w:t>9</w:t>
          </w:r>
          <w:bookmarkEnd w:id="22"/>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722980761"/>
              <w:placeholder>
                <w:docPart w:val="E99097383CB041CE8101684ED4CF4F0E"/>
              </w:placeholder>
            </w:sdtPr>
            <w:sdtContent>
              <w:r>
                <w:rPr>
                  <w:rFonts w:ascii="Cambria" w:eastAsia="宋体" w:cs="Times New Roman" w:hAnsi="Cambria" w:hint="eastAsia"/>
                  <w:sz w:val="24"/>
                  <w:szCs w:val="24"/>
                </w:rPr>
                <w:fldChar w:fldCharType="begin"/>
              </w:r>
              <w:r>
                <w:instrText>HYPERLINK  \l "_Toc547293273_WPSOffice_Level2"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三、支出决算表</w:t>
              </w:r>
            </w:sdtContent>
          </w:sdt>
          <w:r>
            <w:rPr>
              <w:rFonts w:ascii="Cambria" w:eastAsia="宋体" w:cs="Times New Roman" w:hAnsi="Cambria" w:hint="eastAsia"/>
              <w:sz w:val="24"/>
              <w:szCs w:val="24"/>
            </w:rPr>
            <w:tab/>
          </w:r>
          <w:bookmarkStart w:id="23" w:name="_Toc547293273_WPSOffice_Level2Page"/>
          <w:r>
            <w:rPr>
              <w:rFonts w:ascii="Cambria" w:eastAsia="宋体" w:cs="Times New Roman" w:hAnsi="Cambria" w:hint="eastAsia"/>
              <w:sz w:val="24"/>
              <w:szCs w:val="24"/>
            </w:rPr>
            <w:t>9</w:t>
          </w:r>
          <w:bookmarkEnd w:id="23"/>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1437881896"/>
              <w:placeholder>
                <w:docPart w:val="E99097383CB041CE8101684ED4CF4F0E"/>
              </w:placeholder>
            </w:sdtPr>
            <w:sdtContent>
              <w:r>
                <w:rPr>
                  <w:rFonts w:ascii="Cambria" w:eastAsia="宋体" w:cs="Times New Roman" w:hAnsi="Cambria" w:hint="eastAsia"/>
                  <w:sz w:val="24"/>
                  <w:szCs w:val="24"/>
                </w:rPr>
                <w:fldChar w:fldCharType="begin"/>
              </w:r>
              <w:r>
                <w:instrText>HYPERLINK  \l "_Toc2111114398_WPSOffice_Level2"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四、财政拨款收入支出决算总表</w:t>
              </w:r>
            </w:sdtContent>
          </w:sdt>
          <w:r>
            <w:rPr>
              <w:rFonts w:ascii="Cambria" w:eastAsia="宋体" w:cs="Times New Roman" w:hAnsi="Cambria" w:hint="eastAsia"/>
              <w:sz w:val="24"/>
              <w:szCs w:val="24"/>
            </w:rPr>
            <w:tab/>
          </w:r>
          <w:bookmarkStart w:id="24" w:name="_Toc2111114398_WPSOffice_Level2Page"/>
          <w:r>
            <w:rPr>
              <w:rFonts w:ascii="Cambria" w:eastAsia="宋体" w:cs="Times New Roman" w:hAnsi="Cambria" w:hint="eastAsia"/>
              <w:sz w:val="24"/>
              <w:szCs w:val="24"/>
            </w:rPr>
            <w:t>9</w:t>
          </w:r>
          <w:bookmarkEnd w:id="24"/>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2000406026"/>
              <w:placeholder>
                <w:docPart w:val="E99097383CB041CE8101684ED4CF4F0E"/>
              </w:placeholder>
            </w:sdtPr>
            <w:sdtContent>
              <w:r>
                <w:rPr>
                  <w:rFonts w:ascii="Cambria" w:eastAsia="宋体" w:cs="Times New Roman" w:hAnsi="Cambria" w:hint="eastAsia"/>
                  <w:sz w:val="24"/>
                  <w:szCs w:val="24"/>
                </w:rPr>
                <w:fldChar w:fldCharType="begin"/>
              </w:r>
              <w:r>
                <w:instrText>HYPERLINK  \l "_Toc440397709_WPSOffice_Level2"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五、财政拨款支出决算明细表</w:t>
              </w:r>
            </w:sdtContent>
          </w:sdt>
          <w:r>
            <w:rPr>
              <w:rFonts w:ascii="Cambria" w:eastAsia="宋体" w:cs="Times New Roman" w:hAnsi="Cambria" w:hint="eastAsia"/>
              <w:sz w:val="24"/>
              <w:szCs w:val="24"/>
            </w:rPr>
            <w:tab/>
          </w:r>
          <w:bookmarkStart w:id="25" w:name="_Toc440397709_WPSOffice_Level2Page"/>
          <w:r>
            <w:rPr>
              <w:rFonts w:ascii="Cambria" w:eastAsia="宋体" w:cs="Times New Roman" w:hAnsi="Cambria" w:hint="eastAsia"/>
              <w:sz w:val="24"/>
              <w:szCs w:val="24"/>
            </w:rPr>
            <w:t>9</w:t>
          </w:r>
          <w:bookmarkEnd w:id="25"/>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1609138113"/>
              <w:placeholder>
                <w:docPart w:val="E99097383CB041CE8101684ED4CF4F0E"/>
              </w:placeholder>
            </w:sdtPr>
            <w:sdtContent>
              <w:r>
                <w:rPr>
                  <w:rFonts w:ascii="Cambria" w:eastAsia="宋体" w:cs="Times New Roman" w:hAnsi="Cambria" w:hint="eastAsia"/>
                  <w:sz w:val="24"/>
                  <w:szCs w:val="24"/>
                </w:rPr>
                <w:fldChar w:fldCharType="begin"/>
              </w:r>
              <w:r>
                <w:instrText>HYPERLINK  \l "_Toc2028556692_WPSOffice_Level2"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六、一般公共预算财政拨款支出决算表</w:t>
              </w:r>
            </w:sdtContent>
          </w:sdt>
          <w:r>
            <w:rPr>
              <w:rFonts w:ascii="Cambria" w:eastAsia="宋体" w:cs="Times New Roman" w:hAnsi="Cambria" w:hint="eastAsia"/>
              <w:sz w:val="24"/>
              <w:szCs w:val="24"/>
            </w:rPr>
            <w:tab/>
          </w:r>
          <w:bookmarkStart w:id="26" w:name="_Toc2028556692_WPSOffice_Level2Page"/>
          <w:r>
            <w:rPr>
              <w:rFonts w:ascii="Cambria" w:eastAsia="宋体" w:cs="Times New Roman" w:hAnsi="Cambria" w:hint="eastAsia"/>
              <w:sz w:val="24"/>
              <w:szCs w:val="24"/>
            </w:rPr>
            <w:t>9</w:t>
          </w:r>
          <w:bookmarkEnd w:id="26"/>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715193958"/>
              <w:placeholder>
                <w:docPart w:val="E99097383CB041CE8101684ED4CF4F0E"/>
              </w:placeholder>
            </w:sdtPr>
            <w:sdtContent>
              <w:r>
                <w:rPr>
                  <w:rFonts w:ascii="Cambria" w:eastAsia="宋体" w:cs="Times New Roman" w:hAnsi="Cambria" w:hint="eastAsia"/>
                  <w:sz w:val="24"/>
                  <w:szCs w:val="24"/>
                </w:rPr>
                <w:fldChar w:fldCharType="begin"/>
              </w:r>
              <w:r>
                <w:instrText>HYPERLINK  \l "_Toc632701917_WPSOffice_Level2"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七、一般公共预算财政拨款支出决算明细表</w:t>
              </w:r>
            </w:sdtContent>
          </w:sdt>
          <w:r>
            <w:rPr>
              <w:rFonts w:ascii="Cambria" w:eastAsia="宋体" w:cs="Times New Roman" w:hAnsi="Cambria" w:hint="eastAsia"/>
              <w:sz w:val="24"/>
              <w:szCs w:val="24"/>
            </w:rPr>
            <w:tab/>
          </w:r>
          <w:bookmarkStart w:id="27" w:name="_Toc632701917_WPSOffice_Level2Page"/>
          <w:r>
            <w:rPr>
              <w:rFonts w:ascii="Cambria" w:eastAsia="宋体" w:cs="Times New Roman" w:hAnsi="Cambria" w:hint="eastAsia"/>
              <w:sz w:val="24"/>
              <w:szCs w:val="24"/>
            </w:rPr>
            <w:t>9</w:t>
          </w:r>
          <w:bookmarkEnd w:id="27"/>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137936119"/>
              <w:placeholder>
                <w:docPart w:val="E99097383CB041CE8101684ED4CF4F0E"/>
              </w:placeholder>
            </w:sdtPr>
            <w:sdtContent>
              <w:r>
                <w:rPr>
                  <w:rFonts w:ascii="Cambria" w:eastAsia="宋体" w:cs="Times New Roman" w:hAnsi="Cambria" w:hint="eastAsia"/>
                  <w:sz w:val="24"/>
                  <w:szCs w:val="24"/>
                </w:rPr>
                <w:fldChar w:fldCharType="begin"/>
              </w:r>
              <w:r>
                <w:instrText>HYPERLINK  \l "_Toc1424671443_WPSOffice_Level2"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八、一般公共预算财政拨款基本支出决算表</w:t>
              </w:r>
            </w:sdtContent>
          </w:sdt>
          <w:r>
            <w:rPr>
              <w:rFonts w:ascii="Cambria" w:eastAsia="宋体" w:cs="Times New Roman" w:hAnsi="Cambria" w:hint="eastAsia"/>
              <w:sz w:val="24"/>
              <w:szCs w:val="24"/>
            </w:rPr>
            <w:tab/>
          </w:r>
          <w:bookmarkStart w:id="28" w:name="_Toc1424671443_WPSOffice_Level2Page"/>
          <w:r>
            <w:rPr>
              <w:rFonts w:ascii="Cambria" w:eastAsia="宋体" w:cs="Times New Roman" w:hAnsi="Cambria" w:hint="eastAsia"/>
              <w:sz w:val="24"/>
              <w:szCs w:val="24"/>
            </w:rPr>
            <w:t>9</w:t>
          </w:r>
          <w:bookmarkEnd w:id="28"/>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1524027903"/>
              <w:placeholder>
                <w:docPart w:val="E99097383CB041CE8101684ED4CF4F0E"/>
              </w:placeholder>
            </w:sdtPr>
            <w:sdtContent>
              <w:r>
                <w:rPr>
                  <w:rFonts w:ascii="Cambria" w:eastAsia="宋体" w:cs="Times New Roman" w:hAnsi="Cambria" w:hint="eastAsia"/>
                  <w:sz w:val="24"/>
                  <w:szCs w:val="24"/>
                </w:rPr>
                <w:fldChar w:fldCharType="begin"/>
              </w:r>
              <w:r>
                <w:instrText>HYPERLINK  \l "_Toc690386582_WPSOffice_Level2"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九、一般公共预算财政拨款项目支出决算表</w:t>
              </w:r>
            </w:sdtContent>
          </w:sdt>
          <w:r>
            <w:rPr>
              <w:rFonts w:ascii="Cambria" w:eastAsia="宋体" w:cs="Times New Roman" w:hAnsi="Cambria" w:hint="eastAsia"/>
              <w:sz w:val="24"/>
              <w:szCs w:val="24"/>
            </w:rPr>
            <w:tab/>
          </w:r>
          <w:bookmarkStart w:id="29" w:name="_Toc690386582_WPSOffice_Level2Page"/>
          <w:r>
            <w:rPr>
              <w:rFonts w:ascii="Cambria" w:eastAsia="宋体" w:cs="Times New Roman" w:hAnsi="Cambria" w:hint="eastAsia"/>
              <w:sz w:val="24"/>
              <w:szCs w:val="24"/>
            </w:rPr>
            <w:t>9</w:t>
          </w:r>
          <w:bookmarkEnd w:id="29"/>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1804490888"/>
              <w:placeholder>
                <w:docPart w:val="E99097383CB041CE8101684ED4CF4F0E"/>
              </w:placeholder>
            </w:sdtPr>
            <w:sdtContent>
              <w:r>
                <w:rPr>
                  <w:rFonts w:ascii="Cambria" w:eastAsia="宋体" w:cs="Times New Roman" w:hAnsi="Cambria" w:hint="eastAsia"/>
                  <w:sz w:val="24"/>
                  <w:szCs w:val="24"/>
                </w:rPr>
                <w:fldChar w:fldCharType="begin"/>
              </w:r>
              <w:r>
                <w:instrText>HYPERLINK  \l "_Toc559836670_WPSOffice_Level2"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十、政府性基金预算财政拨款收入支出决算表</w:t>
              </w:r>
            </w:sdtContent>
          </w:sdt>
          <w:r>
            <w:rPr>
              <w:rFonts w:ascii="Cambria" w:eastAsia="宋体" w:cs="Times New Roman" w:hAnsi="Cambria" w:hint="eastAsia"/>
              <w:sz w:val="24"/>
              <w:szCs w:val="24"/>
            </w:rPr>
            <w:tab/>
          </w:r>
          <w:bookmarkStart w:id="30" w:name="_Toc559836670_WPSOffice_Level2Page"/>
          <w:r>
            <w:rPr>
              <w:rFonts w:ascii="Cambria" w:eastAsia="宋体" w:cs="Times New Roman" w:hAnsi="Cambria" w:hint="eastAsia"/>
              <w:sz w:val="24"/>
              <w:szCs w:val="24"/>
            </w:rPr>
            <w:t>9</w:t>
          </w:r>
          <w:bookmarkEnd w:id="30"/>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1522255155"/>
              <w:placeholder>
                <w:docPart w:val="E99097383CB041CE8101684ED4CF4F0E"/>
              </w:placeholder>
            </w:sdtPr>
            <w:sdtContent>
              <w:r>
                <w:rPr>
                  <w:rFonts w:ascii="Cambria" w:eastAsia="宋体" w:cs="Times New Roman" w:hAnsi="Cambria" w:hint="eastAsia"/>
                  <w:sz w:val="24"/>
                  <w:szCs w:val="24"/>
                </w:rPr>
                <w:fldChar w:fldCharType="begin"/>
              </w:r>
              <w:r>
                <w:instrText>HYPERLINK  \l "_Toc771251687_WPSOffice_Level2"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十一、国有资本经营预算财政拨款收入支出决算表</w:t>
              </w:r>
            </w:sdtContent>
          </w:sdt>
          <w:r>
            <w:rPr>
              <w:rFonts w:ascii="Cambria" w:eastAsia="宋体" w:cs="Times New Roman" w:hAnsi="Cambria" w:hint="eastAsia"/>
              <w:sz w:val="24"/>
              <w:szCs w:val="24"/>
            </w:rPr>
            <w:tab/>
          </w:r>
          <w:bookmarkStart w:id="31" w:name="_Toc771251687_WPSOffice_Level2Page"/>
          <w:r>
            <w:rPr>
              <w:rFonts w:ascii="Cambria" w:eastAsia="宋体" w:cs="Times New Roman" w:hAnsi="Cambria" w:hint="eastAsia"/>
              <w:sz w:val="24"/>
              <w:szCs w:val="24"/>
            </w:rPr>
            <w:t>9</w:t>
          </w:r>
          <w:bookmarkEnd w:id="31"/>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rFonts w:ascii="Cambria" w:eastAsia="宋体" w:cs="Times New Roman" w:hAnsi="Cambria" w:hint="eastAsia"/>
              <w:sz w:val="24"/>
              <w:szCs w:val="24"/>
            </w:rPr>
          </w:pPr>
          <w:sdt>
            <w:sdtPr>
              <w:rPr>
                <w:rFonts w:ascii="Cambria" w:eastAsia="宋体" w:cs="Times New Roman" w:hAnsi="Cambria" w:hint="eastAsia"/>
                <w:sz w:val="24"/>
                <w:szCs w:val="24"/>
                <w:lang w:val="en-US" w:eastAsia="zh-CN"/>
              </w:rPr>
              <w:id w:val="1170843154"/>
              <w:placeholder>
                <w:docPart w:val="E99097383CB041CE8101684ED4CF4F0E"/>
              </w:placeholder>
            </w:sdtPr>
            <w:sdtContent>
              <w:r>
                <w:rPr>
                  <w:rFonts w:ascii="Cambria" w:eastAsia="宋体" w:cs="Times New Roman" w:hAnsi="Cambria" w:hint="eastAsia"/>
                  <w:sz w:val="24"/>
                  <w:szCs w:val="24"/>
                </w:rPr>
                <w:fldChar w:fldCharType="begin"/>
              </w:r>
              <w:r>
                <w:instrText>HYPERLINK  \l "_Toc964090759_WPSOffice_Level2"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十二、国有资本经营预算财政拨款支出决算表</w:t>
              </w:r>
            </w:sdtContent>
          </w:sdt>
          <w:r>
            <w:rPr>
              <w:rFonts w:ascii="Cambria" w:eastAsia="宋体" w:cs="Times New Roman" w:hAnsi="Cambria" w:hint="eastAsia"/>
              <w:sz w:val="24"/>
              <w:szCs w:val="24"/>
            </w:rPr>
            <w:tab/>
          </w:r>
          <w:bookmarkStart w:id="32" w:name="_Toc964090759_WPSOffice_Level2Page"/>
          <w:r>
            <w:rPr>
              <w:rFonts w:ascii="Cambria" w:eastAsia="宋体" w:cs="Times New Roman" w:hAnsi="Cambria" w:hint="eastAsia"/>
              <w:sz w:val="24"/>
              <w:szCs w:val="24"/>
            </w:rPr>
            <w:t>9</w:t>
          </w:r>
          <w:bookmarkEnd w:id="32"/>
          <w:r>
            <w:rPr>
              <w:rFonts w:ascii="Cambria" w:eastAsia="宋体" w:cs="Times New Roman" w:hAnsi="Cambria"/>
              <w:sz w:val="24"/>
              <w:szCs w:val="24"/>
            </w:rPr>
            <w:t>4</w:t>
          </w:r>
          <w:r>
            <w:rPr>
              <w:rFonts w:ascii="Cambria" w:eastAsia="宋体" w:cs="Times New Roman" w:hAnsi="Cambria" w:hint="eastAsia"/>
              <w:sz w:val="24"/>
              <w:szCs w:val="24"/>
            </w:rPr>
            <w:fldChar w:fldCharType="end"/>
          </w:r>
        </w:p>
        <w:p>
          <w:pPr>
            <w:pStyle w:val="40"/>
            <w:tabs>
              <w:tab w:val="right" w:leader="dot" w:pos="8306"/>
            </w:tabs>
            <w:rPr>
              <w:sz w:val="28"/>
              <w:szCs w:val="28"/>
            </w:rPr>
          </w:pPr>
          <w:sdt>
            <w:sdtPr>
              <w:rPr>
                <w:rFonts w:ascii="Cambria" w:eastAsia="宋体" w:cs="Times New Roman" w:hAnsi="Cambria" w:hint="eastAsia"/>
                <w:sz w:val="24"/>
                <w:szCs w:val="24"/>
                <w:lang w:val="en-US" w:eastAsia="zh-CN"/>
              </w:rPr>
              <w:id w:val="-194220919"/>
              <w:placeholder>
                <w:docPart w:val="E99097383CB041CE8101684ED4CF4F0E"/>
              </w:placeholder>
            </w:sdtPr>
            <w:sdtContent>
              <w:r>
                <w:rPr>
                  <w:rFonts w:ascii="Cambria" w:eastAsia="宋体" w:cs="Times New Roman" w:hAnsi="Cambria" w:hint="eastAsia"/>
                  <w:sz w:val="24"/>
                  <w:szCs w:val="24"/>
                </w:rPr>
                <w:fldChar w:fldCharType="begin"/>
              </w:r>
              <w:r>
                <w:instrText>HYPERLINK  \l "_Toc1596495355_WPSOffice_Level2"</w:instrText>
              </w:r>
              <w:r>
                <w:rPr>
                  <w:rFonts w:ascii="Cambria" w:eastAsia="宋体" w:cs="Times New Roman" w:hAnsi="Cambria" w:hint="eastAsia"/>
                  <w:sz w:val="24"/>
                  <w:szCs w:val="24"/>
                </w:rPr>
                <w:fldChar w:fldCharType="separate"/>
              </w:r>
              <w:r>
                <w:rPr>
                  <w:rFonts w:ascii="Cambria" w:eastAsia="宋体" w:cs="Times New Roman" w:hAnsi="Cambria" w:hint="eastAsia"/>
                  <w:sz w:val="24"/>
                  <w:szCs w:val="24"/>
                </w:rPr>
                <w:t>十三、财政拨款“三公”经费支出决算表</w:t>
              </w:r>
            </w:sdtContent>
          </w:sdt>
          <w:r>
            <w:rPr>
              <w:rFonts w:ascii="Cambria" w:eastAsia="宋体" w:cs="Times New Roman" w:hAnsi="Cambria" w:hint="eastAsia"/>
              <w:sz w:val="24"/>
              <w:szCs w:val="24"/>
            </w:rPr>
            <w:tab/>
          </w:r>
          <w:bookmarkStart w:id="33" w:name="_Toc1596495355_WPSOffice_Level2Page"/>
          <w:r>
            <w:rPr>
              <w:rFonts w:ascii="Cambria" w:eastAsia="宋体" w:cs="Times New Roman" w:hAnsi="Cambria" w:hint="eastAsia"/>
              <w:sz w:val="24"/>
              <w:szCs w:val="24"/>
            </w:rPr>
            <w:t>9</w:t>
          </w:r>
          <w:bookmarkEnd w:id="33"/>
          <w:r>
            <w:rPr>
              <w:rFonts w:ascii="Cambria" w:eastAsia="宋体" w:cs="Times New Roman" w:hAnsi="Cambria"/>
              <w:sz w:val="24"/>
              <w:szCs w:val="24"/>
            </w:rPr>
            <w:t>4</w:t>
          </w:r>
          <w:r>
            <w:rPr>
              <w:rFonts w:ascii="Cambria" w:eastAsia="宋体" w:cs="Times New Roman" w:hAnsi="Cambria" w:hint="eastAsia"/>
              <w:sz w:val="24"/>
              <w:szCs w:val="24"/>
            </w:rPr>
            <w:fldChar w:fldCharType="end"/>
          </w:r>
        </w:p>
        <w:bookmarkEnd w:id="12" w:displacedByCustomXml="next"/>
      </w:sdtContent>
    </w:sdt>
    <w:p>
      <w:pPr>
        <w:rPr>
          <w:rFonts w:ascii="宋体" w:eastAsia="宋体" w:cs="宋体" w:hint="eastAsia"/>
          <w:sz w:val="28"/>
          <w:szCs w:val="28"/>
        </w:rPr>
      </w:pPr>
    </w:p>
    <w:p>
      <w:pPr>
        <w:pStyle w:val="16"/>
        <w:rPr>
          <w:rFonts w:ascii="Times New Roman" w:eastAsia="仿宋_GB2312" w:cs="仿宋_GB2312" w:hAnsi="Times New Roman" w:hint="eastAsia"/>
          <w:sz w:val="32"/>
          <w:szCs w:val="32"/>
        </w:rPr>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Pr>
        <w:pStyle w:val="1"/>
        <w:bidi w:val="0"/>
        <w:jc w:val="center"/>
      </w:pPr>
      <w:bookmarkStart w:id="34" w:name="_Toc15377196"/>
      <w:bookmarkStart w:id="35" w:name="_Toc383944496_WPSOffice_Level1"/>
      <w:bookmarkStart w:id="36" w:name="_Toc15396599"/>
      <w:r>
        <w:rPr>
          <w:rFonts w:hint="eastAsia"/>
        </w:rPr>
        <w:t>第一部分  部门概况</w:t>
      </w:r>
      <w:bookmarkEnd w:id="34"/>
      <w:bookmarkEnd w:id="35"/>
      <w:bookmarkEnd w:id="36"/>
    </w:p>
    <w:p>
      <w:pPr>
        <w:widowControl/>
        <w:jc w:val="left"/>
        <w:rPr>
          <w:rFonts w:eastAsia="黑体"/>
          <w:sz w:val="32"/>
          <w:szCs w:val="32"/>
        </w:rPr>
      </w:pPr>
    </w:p>
    <w:p>
      <w:pPr>
        <w:pStyle w:val="2"/>
        <w:bidi w:val="0"/>
        <w:ind w:firstLineChars="50" w:firstLine="160"/>
        <w:rPr>
          <w:rFonts w:hint="eastAsia"/>
        </w:rPr>
      </w:pPr>
      <w:bookmarkStart w:id="37" w:name="_Toc1662582110_WPSOffice_Level2"/>
      <w:r>
        <w:rPr>
          <w:rFonts w:hint="eastAsia"/>
          <w:lang w:eastAsia="zh-CN"/>
        </w:rPr>
        <w:t>一、</w:t>
      </w:r>
      <w:r>
        <w:rPr>
          <w:rFonts w:hint="eastAsia"/>
        </w:rPr>
        <w:t>部门职责</w:t>
      </w:r>
      <w:bookmarkEnd w:id="37"/>
    </w:p>
    <w:p>
      <w:pPr>
        <w:spacing w:line="600" w:lineRule="exact"/>
        <w:ind w:firstLineChars="200" w:firstLine="640"/>
        <w:rPr>
          <w:rFonts w:hint="eastAsia"/>
          <w:lang w:eastAsia="zh-CN"/>
        </w:rPr>
      </w:pPr>
      <w:r>
        <w:rPr>
          <w:rFonts w:ascii="仿宋" w:eastAsia="仿宋" w:hint="eastAsia"/>
          <w:sz w:val="32"/>
          <w:szCs w:val="32"/>
          <w:lang w:val="en-US" w:eastAsia="zh-CN"/>
        </w:rPr>
        <w:t>维护军人军属合法权益，加强退役军人服务保障体系建设，建立健全集中统一、职责清晰的退役军人管理保障体制。</w:t>
      </w:r>
    </w:p>
    <w:p/>
    <w:p>
      <w:pPr>
        <w:pStyle w:val="2"/>
        <w:bidi w:val="0"/>
        <w:ind w:firstLineChars="50" w:firstLine="160"/>
      </w:pPr>
      <w:bookmarkStart w:id="38" w:name="_Toc15377200"/>
      <w:bookmarkStart w:id="39" w:name="_Toc136340519_WPSOffice_Level2"/>
      <w:bookmarkStart w:id="40" w:name="_Toc15396601"/>
      <w:r>
        <w:rPr>
          <w:rFonts w:hint="eastAsia"/>
          <w:lang w:eastAsia="zh-CN"/>
        </w:rPr>
        <w:t>二、</w:t>
      </w:r>
      <w:r>
        <w:rPr>
          <w:rFonts w:hint="eastAsia"/>
        </w:rPr>
        <w:t>机构设置</w:t>
      </w:r>
      <w:bookmarkEnd w:id="38"/>
      <w:bookmarkEnd w:id="39"/>
      <w:bookmarkEnd w:id="40"/>
    </w:p>
    <w:p>
      <w:pPr>
        <w:spacing w:line="600" w:lineRule="exact"/>
        <w:ind w:firstLineChars="200" w:firstLine="640"/>
        <w:rPr>
          <w:rFonts w:ascii="仿宋" w:eastAsia="仿宋" w:hint="eastAsia"/>
          <w:sz w:val="32"/>
          <w:szCs w:val="32"/>
          <w:lang w:val="en-US" w:eastAsia="zh-CN"/>
        </w:rPr>
      </w:pPr>
      <w:r>
        <w:rPr>
          <w:rFonts w:ascii="仿宋" w:eastAsia="仿宋" w:hint="eastAsia"/>
          <w:sz w:val="32"/>
          <w:szCs w:val="32"/>
          <w:lang w:val="en-US" w:eastAsia="zh-CN"/>
        </w:rPr>
        <w:t>市退役军人局下属二级预算单位3个，其中行政单位0个，参照公务员法管理的事业单位0个，其他事业单位3个。</w:t>
      </w:r>
    </w:p>
    <w:p>
      <w:pPr>
        <w:spacing w:line="600" w:lineRule="exact"/>
        <w:ind w:firstLineChars="200" w:firstLine="640"/>
        <w:rPr>
          <w:rFonts w:ascii="仿宋" w:eastAsia="仿宋" w:hint="eastAsia"/>
          <w:sz w:val="32"/>
          <w:szCs w:val="32"/>
          <w:lang w:val="en-US" w:eastAsia="zh-CN"/>
        </w:rPr>
      </w:pPr>
      <w:r>
        <w:rPr>
          <w:rFonts w:ascii="仿宋" w:eastAsia="仿宋" w:hint="eastAsia"/>
          <w:sz w:val="32"/>
          <w:szCs w:val="32"/>
          <w:lang w:val="en-US" w:eastAsia="zh-CN"/>
        </w:rPr>
        <w:t>纳入市退役军人局202</w:t>
      </w:r>
      <w:r>
        <w:rPr>
          <w:rFonts w:ascii="仿宋" w:eastAsia="仿宋"/>
          <w:sz w:val="32"/>
          <w:szCs w:val="32"/>
          <w:lang w:eastAsia="zh-CN"/>
        </w:rPr>
        <w:t>5</w:t>
      </w:r>
      <w:r>
        <w:rPr>
          <w:rFonts w:ascii="仿宋" w:eastAsia="仿宋" w:hint="eastAsia"/>
          <w:sz w:val="32"/>
          <w:szCs w:val="32"/>
          <w:lang w:val="en-US" w:eastAsia="zh-CN"/>
        </w:rPr>
        <w:t>年度部门决算编制范围的二级预算单位包括：</w:t>
      </w:r>
    </w:p>
    <w:p>
      <w:pPr>
        <w:spacing w:line="600" w:lineRule="exact"/>
        <w:ind w:firstLineChars="200" w:firstLine="640"/>
        <w:rPr>
          <w:rFonts w:ascii="仿宋" w:eastAsia="仿宋" w:hint="eastAsia"/>
          <w:sz w:val="32"/>
          <w:szCs w:val="32"/>
          <w:lang w:val="en-US" w:eastAsia="zh-CN"/>
        </w:rPr>
      </w:pPr>
      <w:r>
        <w:rPr>
          <w:rFonts w:ascii="仿宋" w:eastAsia="仿宋" w:hint="eastAsia"/>
          <w:sz w:val="32"/>
          <w:szCs w:val="32"/>
          <w:lang w:val="en-US" w:eastAsia="zh-CN"/>
        </w:rPr>
        <w:t>1.攀枝花市退役军人服务中心</w:t>
      </w:r>
    </w:p>
    <w:p>
      <w:pPr>
        <w:spacing w:line="600" w:lineRule="exact"/>
        <w:ind w:firstLineChars="200" w:firstLine="640"/>
        <w:rPr>
          <w:rFonts w:ascii="仿宋" w:eastAsia="仿宋" w:hint="eastAsia"/>
          <w:sz w:val="32"/>
          <w:szCs w:val="32"/>
          <w:lang w:val="en-US" w:eastAsia="zh-CN"/>
        </w:rPr>
      </w:pPr>
      <w:bookmarkStart w:id="41" w:name="_Toc15306276"/>
      <w:bookmarkStart w:id="42" w:name="_Toc15378449"/>
      <w:bookmarkStart w:id="43" w:name="_Toc15377433"/>
      <w:bookmarkStart w:id="44" w:name="_Toc15377202"/>
      <w:r>
        <w:rPr>
          <w:rFonts w:ascii="仿宋" w:eastAsia="仿宋" w:hint="eastAsia"/>
          <w:sz w:val="32"/>
          <w:szCs w:val="32"/>
          <w:lang w:val="en-US" w:eastAsia="zh-CN"/>
        </w:rPr>
        <w:t>2.</w:t>
      </w:r>
      <w:bookmarkStart w:id="45" w:name="_Toc15377434"/>
      <w:bookmarkStart w:id="46" w:name="_Toc15377203"/>
      <w:bookmarkStart w:id="47" w:name="_Toc15306277"/>
      <w:bookmarkStart w:id="48" w:name="_Toc15378450"/>
      <w:bookmarkEnd w:id="41"/>
      <w:bookmarkEnd w:id="42"/>
      <w:bookmarkEnd w:id="43"/>
      <w:bookmarkEnd w:id="44"/>
      <w:r>
        <w:rPr>
          <w:rFonts w:ascii="仿宋" w:eastAsia="仿宋" w:hint="eastAsia"/>
          <w:sz w:val="32"/>
          <w:szCs w:val="32"/>
          <w:lang w:val="en-US" w:eastAsia="zh-CN"/>
        </w:rPr>
        <w:t>攀枝花市军队离退休干部休养所</w:t>
      </w:r>
    </w:p>
    <w:p>
      <w:pPr>
        <w:widowControl/>
        <w:ind w:firstLineChars="200" w:firstLine="640"/>
        <w:jc w:val="left"/>
        <w:rPr>
          <w:rFonts w:eastAsia="仿宋"/>
          <w:kern w:val="0"/>
          <w:sz w:val="32"/>
          <w:szCs w:val="32"/>
        </w:rPr>
      </w:pPr>
      <w:r>
        <w:rPr>
          <w:rFonts w:ascii="仿宋" w:eastAsia="仿宋" w:hint="eastAsia"/>
          <w:sz w:val="32"/>
          <w:szCs w:val="32"/>
          <w:lang w:val="en-US" w:eastAsia="zh-CN"/>
        </w:rPr>
        <w:t>3.</w:t>
      </w:r>
      <w:bookmarkEnd w:id="45"/>
      <w:bookmarkEnd w:id="46"/>
      <w:bookmarkEnd w:id="47"/>
      <w:bookmarkEnd w:id="48"/>
      <w:r>
        <w:rPr>
          <w:rFonts w:ascii="仿宋" w:eastAsia="仿宋" w:hint="eastAsia"/>
          <w:sz w:val="32"/>
          <w:szCs w:val="32"/>
          <w:lang w:val="en-US" w:eastAsia="zh-CN"/>
        </w:rPr>
        <w:t>攀枝花市军供站</w:t>
      </w:r>
      <w:r>
        <w:rPr>
          <w:rFonts w:ascii="仿宋" w:eastAsia="仿宋"/>
          <w:color w:val="auto"/>
          <w:sz w:val="32"/>
          <w:szCs w:val="32"/>
          <w:highlight w:val="auto"/>
        </w:rPr>
        <w:br w:type="page"/>
      </w:r>
    </w:p>
    <w:p>
      <w:pPr>
        <w:pStyle w:val="1"/>
        <w:bidi w:val="0"/>
        <w:jc w:val="center"/>
      </w:pPr>
      <w:bookmarkStart w:id="49" w:name="_Toc1662582110_WPSOffice_Level1"/>
      <w:bookmarkStart w:id="50" w:name="_Toc15396602"/>
      <w:bookmarkStart w:id="51" w:name="_Toc15377204"/>
      <w:r>
        <w:rPr>
          <w:rFonts w:hint="eastAsia"/>
        </w:rPr>
        <w:t>第二部分  2025年度部门决算情况说明</w:t>
      </w:r>
      <w:bookmarkEnd w:id="49"/>
      <w:bookmarkEnd w:id="50"/>
      <w:bookmarkEnd w:id="51"/>
    </w:p>
    <w:p/>
    <w:p>
      <w:pPr>
        <w:pStyle w:val="2"/>
        <w:bidi w:val="0"/>
        <w:ind w:firstLineChars="50" w:firstLine="160"/>
      </w:pPr>
      <w:bookmarkStart w:id="52" w:name="_Toc1851460344_WPSOffice_Level2"/>
      <w:bookmarkStart w:id="53" w:name="_Toc15377205"/>
      <w:bookmarkStart w:id="54" w:name="_Toc15396603"/>
      <w:r>
        <w:rPr>
          <w:rFonts w:hint="eastAsia"/>
        </w:rPr>
        <w:t>一、收入支出决算总体情况说明</w:t>
      </w:r>
      <w:bookmarkEnd w:id="52"/>
      <w:bookmarkEnd w:id="53"/>
      <w:bookmarkEnd w:id="54"/>
    </w:p>
    <w:p>
      <w:pPr>
        <w:pStyle w:val="35"/>
        <w:spacing w:line="600" w:lineRule="exact"/>
        <w:outlineLvl w:val="1"/>
        <w:rPr>
          <w:rFonts w:eastAsia="宋体" w:cs="仿宋_GB2312" w:hint="eastAsia"/>
          <w:sz w:val="32"/>
          <w:szCs w:val="32"/>
          <w:lang w:eastAsia="zh-CN"/>
        </w:rPr>
      </w:pPr>
      <w:r>
        <w:drawing>
          <wp:anchor distT="0" distB="0" distL="114300" distR="114300" simplePos="0" relativeHeight="33" behindDoc="0" locked="0" layoutInCell="1" hidden="0" allowOverlap="1">
            <wp:simplePos x="0" y="0"/>
            <wp:positionH relativeFrom="column">
              <wp:posOffset>92710</wp:posOffset>
            </wp:positionH>
            <wp:positionV relativeFrom="paragraph">
              <wp:posOffset>1715770</wp:posOffset>
            </wp:positionV>
            <wp:extent cx="5267960" cy="3961129"/>
            <wp:effectExtent l="0" t="0" r="0" b="0"/>
            <wp:wrapTopAndBottom/>
            <wp:docPr id="4" name="图片 1"/>
            <wp:cNvGraphicFramePr>
              <a:graphicFrameLocks noChangeAspect="0"/>
            </wp:cNvGraphicFramePr>
            <a:graphic>
              <a:graphicData uri="http://schemas.openxmlformats.org/drawingml/2006/picture">
                <pic:pic>
                  <pic:nvPicPr>
                    <pic:cNvPr id="6" name="图片 1 6"/>
                    <pic:cNvPicPr/>
                  </pic:nvPicPr>
                  <pic:blipFill>
                    <a:blip r:embed="rId8"/>
                    <a:stretch>
                      <a:fillRect/>
                    </a:stretch>
                  </pic:blipFill>
                  <pic:spPr>
                    <a:xfrm rot="0">
                      <a:off x="0" y="0"/>
                      <a:ext cx="5267960" cy="3961129"/>
                    </a:xfrm>
                    <a:prstGeom prst="rect"/>
                    <a:noFill/>
                    <a:ln w="9525" cmpd="sng" cap="flat">
                      <a:noFill/>
                      <a:prstDash val="solid"/>
                      <a:round/>
                    </a:ln>
                  </pic:spPr>
                </pic:pic>
              </a:graphicData>
            </a:graphic>
          </wp:anchor>
        </w:drawing>
      </w:r>
      <w:r>
        <w:rPr>
          <w:rFonts w:eastAsia="仿宋_GB2312" w:cs="仿宋_GB2312" w:hint="eastAsia"/>
          <w:sz w:val="32"/>
          <w:szCs w:val="32"/>
        </w:rPr>
        <w:t>2025年度收入、支出总计</w:t>
      </w:r>
      <w:r>
        <w:rPr>
          <w:rFonts w:eastAsia="仿宋_GB2312" w:cs="仿宋_GB2312" w:hint="eastAsia"/>
          <w:sz w:val="32"/>
          <w:szCs w:val="32"/>
          <w:lang w:eastAsia="zh-CN"/>
        </w:rPr>
        <w:t>均</w:t>
      </w:r>
      <w:r>
        <w:rPr>
          <w:rFonts w:eastAsia="仿宋_GB2312" w:cs="仿宋_GB2312" w:hint="eastAsia"/>
          <w:sz w:val="32"/>
          <w:szCs w:val="32"/>
        </w:rPr>
        <w:t>为</w:t>
      </w:r>
      <w:r>
        <w:rPr>
          <w:rFonts w:eastAsia="仿宋_GB2312" w:cs="仿宋_GB2312"/>
          <w:sz w:val="32"/>
          <w:szCs w:val="32"/>
        </w:rPr>
        <w:t>4,953.75</w:t>
      </w:r>
      <w:r>
        <w:rPr>
          <w:rFonts w:eastAsia="仿宋_GB2312" w:cs="仿宋_GB2312" w:hint="eastAsia"/>
          <w:sz w:val="32"/>
          <w:szCs w:val="32"/>
        </w:rPr>
        <w:t>万元。与上年度相比，收入</w:t>
      </w:r>
      <w:r>
        <w:rPr>
          <w:rFonts w:eastAsia="仿宋_GB2312" w:cs="仿宋_GB2312" w:hint="eastAsia"/>
          <w:sz w:val="32"/>
          <w:szCs w:val="32"/>
          <w:lang w:eastAsia="zh-CN"/>
        </w:rPr>
        <w:t>增加</w:t>
      </w:r>
      <w:r>
        <w:rPr>
          <w:rFonts w:eastAsia="仿宋_GB2312" w:cs="仿宋_GB2312"/>
          <w:sz w:val="32"/>
          <w:szCs w:val="32"/>
          <w:lang w:eastAsia="zh-CN"/>
        </w:rPr>
        <w:t>30.26</w:t>
      </w:r>
      <w:r>
        <w:rPr>
          <w:rFonts w:eastAsia="仿宋_GB2312" w:cs="仿宋_GB2312" w:hint="eastAsia"/>
          <w:sz w:val="32"/>
          <w:szCs w:val="32"/>
        </w:rPr>
        <w:t>万元，</w:t>
      </w:r>
      <w:r>
        <w:rPr>
          <w:rFonts w:eastAsia="仿宋_GB2312" w:cs="仿宋_GB2312" w:hint="eastAsia"/>
          <w:sz w:val="32"/>
          <w:szCs w:val="32"/>
          <w:lang w:eastAsia="zh-CN"/>
        </w:rPr>
        <w:t>增长</w:t>
      </w:r>
      <w:r>
        <w:rPr>
          <w:rFonts w:eastAsia="仿宋_GB2312" w:cs="仿宋_GB2312" w:hint="eastAsia"/>
          <w:sz w:val="32"/>
          <w:szCs w:val="32"/>
          <w:lang w:val="en-US" w:eastAsia="zh-CN"/>
        </w:rPr>
        <w:t>0</w:t>
      </w:r>
      <w:r>
        <w:rPr>
          <w:rFonts w:eastAsia="仿宋_GB2312" w:cs="仿宋_GB2312"/>
          <w:sz w:val="32"/>
          <w:szCs w:val="32"/>
          <w:lang w:eastAsia="zh-CN"/>
        </w:rPr>
        <w:t>.6</w:t>
      </w:r>
      <w:r>
        <w:rPr>
          <w:rFonts w:eastAsia="仿宋_GB2312" w:cs="仿宋_GB2312" w:hint="eastAsia"/>
          <w:sz w:val="32"/>
          <w:szCs w:val="32"/>
        </w:rPr>
        <w:t>%。主要变动原因是</w:t>
      </w:r>
      <w:r>
        <w:rPr>
          <w:rFonts w:eastAsia="仿宋_GB2312" w:cs="仿宋_GB2312" w:hint="eastAsia"/>
          <w:sz w:val="32"/>
          <w:szCs w:val="32"/>
          <w:lang w:eastAsia="zh-CN"/>
        </w:rPr>
        <w:t>人员工资调标导致相关经费增加。</w:t>
      </w:r>
    </w:p>
    <w:p>
      <w:pPr>
        <w:pStyle w:val="35"/>
        <w:spacing w:line="600" w:lineRule="exact"/>
        <w:outlineLvl w:val="1"/>
        <w:rPr>
          <w:rFonts w:eastAsia="仿宋_GB2312" w:cs="仿宋_GB2312" w:hint="eastAsia"/>
          <w:sz w:val="32"/>
          <w:szCs w:val="32"/>
        </w:rPr>
      </w:pPr>
    </w:p>
    <w:p>
      <w:pPr>
        <w:pStyle w:val="35"/>
        <w:spacing w:line="600" w:lineRule="exact"/>
        <w:outlineLvl w:val="1"/>
        <w:rPr>
          <w:rFonts w:eastAsia="仿宋_GB2312" w:cs="仿宋_GB2312"/>
          <w:sz w:val="32"/>
          <w:szCs w:val="32"/>
        </w:rPr>
      </w:pPr>
      <w:r>
        <w:rPr>
          <w:rFonts w:eastAsia="仿宋_GB2312" w:cs="仿宋_GB2312" w:hint="eastAsia"/>
          <w:sz w:val="32"/>
          <w:szCs w:val="32"/>
        </w:rPr>
        <w:t>（图1：收入、支出决算总计变动情况图）（柱状图）</w:t>
      </w:r>
    </w:p>
    <w:p>
      <w:pPr>
        <w:rPr>
          <w:rFonts w:eastAsia="仿宋_GB2312" w:cs="仿宋_GB2312"/>
          <w:sz w:val="32"/>
          <w:szCs w:val="32"/>
        </w:rPr>
      </w:pPr>
    </w:p>
    <w:p>
      <w:pPr>
        <w:pStyle w:val="2"/>
        <w:bidi w:val="0"/>
        <w:ind w:firstLineChars="50" w:firstLine="160"/>
      </w:pPr>
      <w:bookmarkStart w:id="55" w:name="_Toc15396604"/>
      <w:bookmarkStart w:id="56" w:name="_Toc252951863_WPSOffice_Level2"/>
      <w:bookmarkStart w:id="57" w:name="_Toc15377206"/>
      <w:r>
        <w:rPr>
          <w:rFonts w:hint="eastAsia"/>
        </w:rPr>
        <w:t>二、收入决算情况说明</w:t>
      </w:r>
      <w:bookmarkEnd w:id="55"/>
      <w:bookmarkEnd w:id="56"/>
      <w:bookmarkEnd w:id="57"/>
    </w:p>
    <w:p>
      <w:pPr>
        <w:pStyle w:val="35"/>
        <w:spacing w:line="600" w:lineRule="exact"/>
        <w:outlineLvl w:val="1"/>
        <w:rPr>
          <w:rFonts w:eastAsia="仿宋_GB2312" w:cs="仿宋_GB2312" w:hint="eastAsia"/>
          <w:sz w:val="32"/>
          <w:szCs w:val="32"/>
        </w:rPr>
      </w:pPr>
      <w:r>
        <w:rPr>
          <w:rFonts w:eastAsia="仿宋_GB2312" w:cs="仿宋_GB2312" w:hint="eastAsia"/>
          <w:sz w:val="32"/>
          <w:szCs w:val="32"/>
        </w:rPr>
        <w:t>2025年度本年收入合计</w:t>
      </w:r>
      <w:r>
        <w:rPr>
          <w:rFonts w:eastAsia="仿宋_GB2312" w:cs="仿宋_GB2312"/>
          <w:sz w:val="32"/>
          <w:szCs w:val="32"/>
        </w:rPr>
        <w:t>4,948.98</w:t>
      </w:r>
      <w:r>
        <w:rPr>
          <w:rFonts w:eastAsia="仿宋_GB2312" w:cs="仿宋_GB2312" w:hint="eastAsia"/>
          <w:sz w:val="32"/>
          <w:szCs w:val="32"/>
        </w:rPr>
        <w:t>万元，其中：一般公共预算财政拨款收入</w:t>
      </w:r>
      <w:r>
        <w:rPr>
          <w:rFonts w:eastAsia="仿宋_GB2312" w:cs="仿宋_GB2312"/>
          <w:sz w:val="32"/>
          <w:szCs w:val="32"/>
        </w:rPr>
        <w:t>4,898.53</w:t>
      </w:r>
      <w:r>
        <w:rPr>
          <w:rFonts w:eastAsia="仿宋_GB2312" w:cs="仿宋_GB2312" w:hint="eastAsia"/>
          <w:sz w:val="32"/>
          <w:szCs w:val="32"/>
        </w:rPr>
        <w:t>万元，占</w:t>
      </w:r>
      <w:r>
        <w:rPr>
          <w:rFonts w:eastAsia="仿宋_GB2312" w:cs="仿宋_GB2312"/>
          <w:sz w:val="32"/>
          <w:szCs w:val="32"/>
        </w:rPr>
        <w:t>99</w:t>
      </w:r>
      <w:r>
        <w:rPr>
          <w:rFonts w:eastAsia="仿宋_GB2312" w:cs="仿宋_GB2312" w:hint="eastAsia"/>
          <w:sz w:val="32"/>
          <w:szCs w:val="32"/>
        </w:rPr>
        <w:t>%；政府性基金预算财政拨款收入</w:t>
      </w:r>
      <w:r>
        <w:rPr>
          <w:rFonts w:eastAsia="仿宋_GB2312" w:cs="仿宋_GB2312"/>
          <w:sz w:val="32"/>
          <w:szCs w:val="32"/>
        </w:rPr>
        <w:t>11.11</w:t>
      </w:r>
      <w:r>
        <w:rPr>
          <w:rFonts w:eastAsia="仿宋_GB2312" w:cs="仿宋_GB2312" w:hint="eastAsia"/>
          <w:sz w:val="32"/>
          <w:szCs w:val="32"/>
        </w:rPr>
        <w:t>万元，占</w:t>
      </w:r>
      <w:r>
        <w:rPr>
          <w:rFonts w:eastAsia="仿宋_GB2312" w:cs="仿宋_GB2312"/>
          <w:sz w:val="32"/>
          <w:szCs w:val="32"/>
        </w:rPr>
        <w:t>0.2</w:t>
      </w:r>
      <w:r>
        <w:rPr>
          <w:rFonts w:eastAsia="仿宋_GB2312" w:cs="仿宋_GB2312" w:hint="eastAsia"/>
          <w:sz w:val="32"/>
          <w:szCs w:val="32"/>
        </w:rPr>
        <w:t>%</w:t>
      </w:r>
      <w:r>
        <w:rPr>
          <w:rFonts w:eastAsia="仿宋_GB2312" w:cs="仿宋_GB2312" w:hint="eastAsia"/>
          <w:sz w:val="32"/>
          <w:szCs w:val="32"/>
          <w:lang w:eastAsia="zh-CN"/>
        </w:rPr>
        <w:t>；</w:t>
      </w:r>
      <w:r>
        <w:rPr>
          <w:rFonts w:eastAsia="仿宋_GB2312" w:cs="仿宋_GB2312" w:hint="eastAsia"/>
          <w:sz w:val="32"/>
          <w:szCs w:val="32"/>
        </w:rPr>
        <w:t>其他收入</w:t>
      </w:r>
      <w:r>
        <w:rPr>
          <w:rFonts w:eastAsia="仿宋_GB2312" w:cs="仿宋_GB2312"/>
          <w:sz w:val="32"/>
          <w:szCs w:val="32"/>
        </w:rPr>
        <w:t>39.34</w:t>
      </w:r>
      <w:r>
        <w:rPr>
          <w:rFonts w:eastAsia="仿宋_GB2312" w:cs="仿宋_GB2312" w:hint="eastAsia"/>
          <w:sz w:val="32"/>
          <w:szCs w:val="32"/>
        </w:rPr>
        <w:t>万元，占</w:t>
      </w:r>
      <w:r>
        <w:rPr>
          <w:rFonts w:eastAsia="仿宋_GB2312" w:cs="仿宋_GB2312"/>
          <w:sz w:val="32"/>
          <w:szCs w:val="32"/>
        </w:rPr>
        <w:t>0.8</w:t>
      </w:r>
      <w:r>
        <w:rPr>
          <w:rFonts w:eastAsia="仿宋_GB2312" w:cs="仿宋_GB2312" w:hint="eastAsia"/>
          <w:sz w:val="32"/>
          <w:szCs w:val="32"/>
        </w:rPr>
        <w:t>%。</w:t>
      </w:r>
    </w:p>
    <w:p>
      <w:pPr>
        <w:pStyle w:val="35"/>
        <w:spacing w:line="600" w:lineRule="exact"/>
        <w:jc w:val="center"/>
        <w:outlineLvl w:val="1"/>
        <w:rPr>
          <w:rFonts w:eastAsia="仿宋_GB2312" w:cs="仿宋_GB2312"/>
          <w:sz w:val="32"/>
          <w:szCs w:val="32"/>
        </w:rPr>
      </w:pPr>
      <w:r>
        <w:drawing>
          <wp:anchor distT="0" distB="0" distL="114300" distR="114300" simplePos="0" relativeHeight="23" behindDoc="0" locked="0" layoutInCell="1" hidden="0" allowOverlap="1">
            <wp:simplePos x="0" y="0"/>
            <wp:positionH relativeFrom="column">
              <wp:posOffset>57150</wp:posOffset>
            </wp:positionH>
            <wp:positionV relativeFrom="paragraph">
              <wp:posOffset>172085</wp:posOffset>
            </wp:positionV>
            <wp:extent cx="5210175" cy="3857625"/>
            <wp:effectExtent l="0" t="0" r="0" b="0"/>
            <wp:wrapTopAndBottom/>
            <wp:docPr id="7" name="图片 4"/>
            <wp:cNvGraphicFramePr>
              <a:graphicFrameLocks noChangeAspect="0"/>
            </wp:cNvGraphicFramePr>
            <a:graphic>
              <a:graphicData uri="http://schemas.openxmlformats.org/drawingml/2006/picture">
                <pic:pic>
                  <pic:nvPicPr>
                    <pic:cNvPr id="9" name="图片 4 9"/>
                    <pic:cNvPicPr/>
                  </pic:nvPicPr>
                  <pic:blipFill>
                    <a:blip r:embed="rId9"/>
                    <a:stretch>
                      <a:fillRect/>
                    </a:stretch>
                  </pic:blipFill>
                  <pic:spPr>
                    <a:xfrm rot="0">
                      <a:off x="0" y="0"/>
                      <a:ext cx="5210175" cy="3857625"/>
                    </a:xfrm>
                    <a:prstGeom prst="rect"/>
                    <a:noFill/>
                    <a:ln w="9525" cmpd="sng" cap="flat">
                      <a:noFill/>
                      <a:prstDash val="solid"/>
                      <a:round/>
                    </a:ln>
                  </pic:spPr>
                </pic:pic>
              </a:graphicData>
            </a:graphic>
          </wp:anchor>
        </w:drawing>
      </w:r>
      <w:r>
        <w:rPr>
          <w:rFonts w:eastAsia="仿宋_GB2312" w:cs="仿宋_GB2312" w:hint="eastAsia"/>
          <w:sz w:val="32"/>
          <w:szCs w:val="32"/>
        </w:rPr>
        <w:t>（</w:t>
      </w:r>
      <w:r>
        <w:rPr>
          <w:rFonts w:eastAsia="仿宋_GB2312" w:cs="仿宋_GB2312"/>
          <w:sz w:val="32"/>
          <w:szCs w:val="32"/>
        </w:rPr>
        <w:t>6</w:t>
      </w:r>
      <w:r>
        <w:rPr>
          <w:rFonts w:eastAsia="仿宋_GB2312" w:cs="仿宋_GB2312" w:hint="eastAsia"/>
          <w:sz w:val="32"/>
          <w:szCs w:val="32"/>
        </w:rPr>
        <w:t>图2：收入决算结构图）（饼状图）</w:t>
      </w:r>
    </w:p>
    <w:p>
      <w:pPr>
        <w:pStyle w:val="2"/>
        <w:bidi w:val="0"/>
        <w:ind w:firstLineChars="50" w:firstLine="160"/>
      </w:pPr>
      <w:bookmarkStart w:id="58" w:name="_Toc15396605"/>
      <w:bookmarkStart w:id="59" w:name="_Toc379065456_WPSOffice_Level2"/>
      <w:bookmarkStart w:id="60" w:name="_Toc15377207"/>
      <w:r>
        <w:rPr>
          <w:rFonts w:hint="eastAsia"/>
        </w:rPr>
        <w:t>三、支出决算情况说明</w:t>
      </w:r>
      <w:bookmarkEnd w:id="58"/>
      <w:bookmarkEnd w:id="59"/>
      <w:bookmarkEnd w:id="60"/>
    </w:p>
    <w:p>
      <w:pPr>
        <w:spacing w:line="600" w:lineRule="exact"/>
        <w:ind w:firstLineChars="200" w:firstLine="640"/>
        <w:outlineLvl w:val="1"/>
        <w:rPr>
          <w:rFonts w:eastAsia="仿宋_GB2312" w:cs="仿宋_GB2312" w:hint="eastAsia"/>
          <w:sz w:val="32"/>
          <w:szCs w:val="32"/>
        </w:rPr>
      </w:pPr>
      <w:r>
        <w:rPr>
          <w:rFonts w:eastAsia="仿宋_GB2312" w:cs="仿宋_GB2312" w:hint="eastAsia"/>
          <w:sz w:val="32"/>
          <w:szCs w:val="32"/>
        </w:rPr>
        <w:t>2025年度本年支出合计</w:t>
      </w:r>
      <w:r>
        <w:rPr>
          <w:rFonts w:eastAsia="仿宋_GB2312" w:cs="仿宋_GB2312"/>
          <w:sz w:val="32"/>
          <w:szCs w:val="32"/>
        </w:rPr>
        <w:t>4,949.11</w:t>
      </w:r>
      <w:r>
        <w:rPr>
          <w:rFonts w:eastAsia="仿宋_GB2312" w:cs="仿宋_GB2312" w:hint="eastAsia"/>
          <w:sz w:val="32"/>
          <w:szCs w:val="32"/>
        </w:rPr>
        <w:t>万元，其中：基本支出</w:t>
      </w:r>
      <w:r>
        <w:rPr>
          <w:rFonts w:eastAsia="仿宋_GB2312" w:cs="仿宋_GB2312"/>
          <w:sz w:val="32"/>
          <w:szCs w:val="32"/>
        </w:rPr>
        <w:t>1,158.85</w:t>
      </w:r>
      <w:r>
        <w:rPr>
          <w:rFonts w:eastAsia="仿宋_GB2312" w:cs="仿宋_GB2312" w:hint="eastAsia"/>
          <w:sz w:val="32"/>
          <w:szCs w:val="32"/>
        </w:rPr>
        <w:t>万元，占</w:t>
      </w:r>
      <w:r>
        <w:rPr>
          <w:rFonts w:eastAsia="仿宋_GB2312" w:cs="仿宋_GB2312"/>
          <w:sz w:val="32"/>
          <w:szCs w:val="32"/>
        </w:rPr>
        <w:t>23.4</w:t>
      </w:r>
      <w:r>
        <w:rPr>
          <w:rFonts w:eastAsia="仿宋_GB2312" w:cs="仿宋_GB2312" w:hint="eastAsia"/>
          <w:sz w:val="32"/>
          <w:szCs w:val="32"/>
        </w:rPr>
        <w:t>%；项目支出</w:t>
      </w:r>
      <w:r>
        <w:rPr>
          <w:rFonts w:eastAsia="仿宋_GB2312" w:cs="仿宋_GB2312"/>
          <w:sz w:val="32"/>
          <w:szCs w:val="32"/>
        </w:rPr>
        <w:t>3,790.26</w:t>
      </w:r>
      <w:r>
        <w:rPr>
          <w:rFonts w:eastAsia="仿宋_GB2312" w:cs="仿宋_GB2312" w:hint="eastAsia"/>
          <w:sz w:val="32"/>
          <w:szCs w:val="32"/>
        </w:rPr>
        <w:t>万元，占</w:t>
      </w:r>
      <w:r>
        <w:rPr>
          <w:rFonts w:eastAsia="仿宋_GB2312" w:cs="仿宋_GB2312"/>
          <w:sz w:val="32"/>
          <w:szCs w:val="32"/>
        </w:rPr>
        <w:t>76.6</w:t>
      </w:r>
      <w:r>
        <w:rPr>
          <w:rFonts w:eastAsia="仿宋_GB2312" w:cs="仿宋_GB2312" w:hint="eastAsia"/>
          <w:sz w:val="32"/>
          <w:szCs w:val="32"/>
        </w:rPr>
        <w:t>%</w:t>
      </w:r>
      <w:r>
        <w:rPr>
          <w:rFonts w:eastAsia="仿宋_GB2312" w:cs="仿宋_GB2312" w:hint="eastAsia"/>
          <w:sz w:val="32"/>
          <w:szCs w:val="32"/>
          <w:lang w:eastAsia="zh-CN"/>
        </w:rPr>
        <w:t>。</w:t>
      </w:r>
    </w:p>
    <w:p>
      <w:pPr>
        <w:pStyle w:val="35"/>
        <w:spacing w:line="600" w:lineRule="exact"/>
        <w:jc w:val="center"/>
        <w:outlineLvl w:val="1"/>
        <w:rPr>
          <w:rFonts w:eastAsia="仿宋_GB2312" w:cs="仿宋_GB2312"/>
          <w:sz w:val="32"/>
          <w:szCs w:val="32"/>
        </w:rPr>
      </w:pPr>
      <w:r>
        <w:rPr>
          <w:rFonts w:eastAsia="仿宋_GB2312" w:cs="仿宋_GB2312" w:hint="eastAsia"/>
          <w:sz w:val="32"/>
          <w:szCs w:val="32"/>
        </w:rPr>
        <w:t>（图3：支出决算结构图）（饼状图）</w:t>
      </w:r>
      <w:r>
        <w:drawing>
          <wp:anchor distT="0" distB="0" distL="114300" distR="114300" simplePos="0" relativeHeight="27" behindDoc="0" locked="0" layoutInCell="1" hidden="0" allowOverlap="1">
            <wp:simplePos x="0" y="0"/>
            <wp:positionH relativeFrom="column">
              <wp:posOffset>257175</wp:posOffset>
            </wp:positionH>
            <wp:positionV relativeFrom="page">
              <wp:posOffset>763270</wp:posOffset>
            </wp:positionV>
            <wp:extent cx="5272404" cy="3754120"/>
            <wp:effectExtent l="0" t="0" r="0" b="0"/>
            <wp:wrapTopAndBottom/>
            <wp:docPr id="10" name="图片 5"/>
            <wp:cNvGraphicFramePr>
              <a:graphicFrameLocks noChangeAspect="0"/>
            </wp:cNvGraphicFramePr>
            <a:graphic>
              <a:graphicData uri="http://schemas.openxmlformats.org/drawingml/2006/picture">
                <pic:pic>
                  <pic:nvPicPr>
                    <pic:cNvPr id="12" name="图片 5 12"/>
                    <pic:cNvPicPr/>
                  </pic:nvPicPr>
                  <pic:blipFill>
                    <a:blip r:embed="rId10"/>
                    <a:stretch>
                      <a:fillRect/>
                    </a:stretch>
                  </pic:blipFill>
                  <pic:spPr>
                    <a:xfrm rot="0">
                      <a:off x="0" y="0"/>
                      <a:ext cx="5272404" cy="3754120"/>
                    </a:xfrm>
                    <a:prstGeom prst="rect"/>
                    <a:noFill/>
                    <a:ln w="9525" cmpd="sng" cap="flat">
                      <a:noFill/>
                      <a:prstDash val="solid"/>
                      <a:round/>
                    </a:ln>
                  </pic:spPr>
                </pic:pic>
              </a:graphicData>
            </a:graphic>
          </wp:anchor>
        </w:drawing>
      </w:r>
    </w:p>
    <w:p>
      <w:pPr>
        <w:pStyle w:val="2"/>
        <w:bidi w:val="0"/>
        <w:ind w:firstLineChars="50" w:firstLine="160"/>
      </w:pPr>
      <w:bookmarkStart w:id="61" w:name="_Toc1665460717_WPSOffice_Level2"/>
      <w:bookmarkStart w:id="62" w:name="_Toc15377208"/>
      <w:bookmarkStart w:id="63" w:name="_Toc15396606"/>
      <w:r>
        <w:rPr>
          <w:rFonts w:hint="eastAsia"/>
        </w:rPr>
        <w:t>四、财政拨款收入支出决算总体情况说明</w:t>
      </w:r>
      <w:bookmarkEnd w:id="61"/>
      <w:bookmarkEnd w:id="62"/>
      <w:bookmarkEnd w:id="63"/>
    </w:p>
    <w:p>
      <w:pPr>
        <w:spacing w:line="600" w:lineRule="exact"/>
        <w:ind w:firstLine="640"/>
        <w:rPr>
          <w:rFonts w:eastAsia="仿宋_GB2312" w:cs="仿宋_GB2312" w:hint="eastAsia"/>
          <w:sz w:val="32"/>
          <w:szCs w:val="32"/>
          <w:lang w:eastAsia="zh-CN"/>
        </w:rPr>
      </w:pPr>
      <w:r>
        <w:rPr>
          <w:rFonts w:eastAsia="仿宋_GB2312" w:cs="仿宋_GB2312" w:hint="eastAsia"/>
          <w:sz w:val="32"/>
          <w:szCs w:val="32"/>
        </w:rPr>
        <w:t>2025年度财政拨款收入、支出总计为</w:t>
      </w:r>
      <w:r>
        <w:rPr>
          <w:rFonts w:eastAsia="仿宋_GB2312" w:cs="仿宋_GB2312"/>
          <w:sz w:val="32"/>
          <w:szCs w:val="32"/>
        </w:rPr>
        <w:t>4,909.64</w:t>
      </w:r>
      <w:r>
        <w:rPr>
          <w:rFonts w:eastAsia="仿宋_GB2312" w:cs="仿宋_GB2312" w:hint="eastAsia"/>
          <w:sz w:val="32"/>
          <w:szCs w:val="32"/>
        </w:rPr>
        <w:t>万元。与上年度相比，财政拨款收入</w:t>
      </w:r>
      <w:r>
        <w:rPr>
          <w:rFonts w:eastAsia="仿宋_GB2312" w:cs="仿宋_GB2312" w:hint="eastAsia"/>
          <w:sz w:val="32"/>
          <w:szCs w:val="32"/>
          <w:lang w:eastAsia="zh-CN"/>
        </w:rPr>
        <w:t>增加</w:t>
      </w:r>
      <w:r>
        <w:rPr>
          <w:rFonts w:eastAsia="仿宋_GB2312" w:cs="仿宋_GB2312"/>
          <w:sz w:val="32"/>
          <w:szCs w:val="32"/>
          <w:lang w:eastAsia="zh-CN"/>
        </w:rPr>
        <w:t>191.33</w:t>
      </w:r>
      <w:r>
        <w:rPr>
          <w:rFonts w:eastAsia="仿宋_GB2312" w:cs="仿宋_GB2312" w:hint="eastAsia"/>
          <w:sz w:val="32"/>
          <w:szCs w:val="32"/>
          <w:lang w:eastAsia="zh-CN"/>
        </w:rPr>
        <w:t>万元，增长</w:t>
      </w:r>
      <w:r>
        <w:rPr>
          <w:rFonts w:eastAsia="仿宋_GB2312" w:cs="仿宋_GB2312"/>
          <w:sz w:val="32"/>
          <w:szCs w:val="32"/>
          <w:lang w:eastAsia="zh-CN"/>
        </w:rPr>
        <w:t>4.1%,</w:t>
      </w:r>
      <w:r>
        <w:rPr>
          <w:rFonts w:eastAsia="仿宋_GB2312" w:cs="仿宋_GB2312" w:hint="eastAsia"/>
          <w:sz w:val="32"/>
          <w:szCs w:val="32"/>
        </w:rPr>
        <w:t>财政拨款支出增加</w:t>
      </w:r>
      <w:r>
        <w:rPr>
          <w:rFonts w:eastAsia="仿宋_GB2312" w:cs="仿宋_GB2312"/>
          <w:sz w:val="32"/>
          <w:szCs w:val="32"/>
        </w:rPr>
        <w:t>191.33</w:t>
      </w:r>
      <w:r>
        <w:rPr>
          <w:rFonts w:eastAsia="仿宋_GB2312" w:cs="仿宋_GB2312" w:hint="eastAsia"/>
          <w:sz w:val="32"/>
          <w:szCs w:val="32"/>
        </w:rPr>
        <w:t>万元，增长</w:t>
      </w:r>
      <w:r>
        <w:rPr>
          <w:rFonts w:eastAsia="仿宋_GB2312" w:cs="仿宋_GB2312"/>
          <w:sz w:val="32"/>
          <w:szCs w:val="32"/>
        </w:rPr>
        <w:t>4.1</w:t>
      </w:r>
      <w:r>
        <w:rPr>
          <w:rFonts w:eastAsia="仿宋_GB2312" w:cs="仿宋_GB2312" w:hint="eastAsia"/>
          <w:sz w:val="32"/>
          <w:szCs w:val="32"/>
        </w:rPr>
        <w:t>%。主要变动原因</w:t>
      </w:r>
      <w:r>
        <w:rPr>
          <w:rFonts w:eastAsia="仿宋_GB2312" w:cs="仿宋_GB2312" w:hint="eastAsia"/>
          <w:sz w:val="32"/>
          <w:szCs w:val="32"/>
          <w:lang w:eastAsia="zh-CN"/>
        </w:rPr>
        <w:t>一是人员经费增加；二是新增抗战胜利80周年一次性补助、武警攀枝花支队军史长廊改造项目等项目经费。</w:t>
      </w:r>
    </w:p>
    <w:p>
      <w:pPr>
        <w:pStyle w:val="17"/>
        <w:rPr>
          <w:rFonts w:eastAsia="仿宋_GB2312" w:cs="仿宋_GB2312" w:hint="eastAsia"/>
          <w:sz w:val="32"/>
          <w:szCs w:val="32"/>
        </w:rPr>
      </w:pPr>
    </w:p>
    <w:p>
      <w:pPr>
        <w:pStyle w:val="17"/>
        <w:rPr>
          <w:rFonts w:eastAsia="仿宋_GB2312" w:cs="仿宋_GB2312" w:hint="eastAsia"/>
          <w:sz w:val="32"/>
          <w:szCs w:val="32"/>
        </w:rPr>
      </w:pPr>
      <w:r>
        <w:drawing>
          <wp:inline distT="0" distB="0" distL="114300" distR="114300">
            <wp:extent cx="5124450" cy="3695700"/>
            <wp:effectExtent l="0" t="0" r="17" b="39"/>
            <wp:docPr id="13" name="图片 6"/>
            <wp:cNvGraphicFramePr>
              <a:graphicFrameLocks noChangeAspect="0"/>
            </wp:cNvGraphicFramePr>
            <a:graphic>
              <a:graphicData uri="http://schemas.openxmlformats.org/drawingml/2006/picture">
                <pic:pic>
                  <pic:nvPicPr>
                    <pic:cNvPr id="15" name="图片 6 15"/>
                    <pic:cNvPicPr/>
                  </pic:nvPicPr>
                  <pic:blipFill>
                    <a:blip r:embed="rId11"/>
                    <a:stretch>
                      <a:fillRect/>
                    </a:stretch>
                  </pic:blipFill>
                  <pic:spPr>
                    <a:xfrm rot="0">
                      <a:off x="0" y="0"/>
                      <a:ext cx="5124450" cy="3695700"/>
                    </a:xfrm>
                    <a:prstGeom prst="rect"/>
                    <a:noFill/>
                    <a:ln w="9525" cmpd="sng" cap="flat">
                      <a:noFill/>
                      <a:prstDash val="solid"/>
                      <a:round/>
                    </a:ln>
                  </pic:spPr>
                </pic:pic>
              </a:graphicData>
            </a:graphic>
          </wp:inline>
        </w:drawing>
      </w:r>
    </w:p>
    <w:p>
      <w:pPr>
        <w:spacing w:line="600" w:lineRule="exact"/>
        <w:ind w:firstLineChars="200" w:firstLine="640"/>
        <w:rPr>
          <w:rFonts w:eastAsia="仿宋_GB2312" w:cs="仿宋_GB2312"/>
          <w:sz w:val="32"/>
          <w:szCs w:val="32"/>
        </w:rPr>
      </w:pPr>
      <w:r>
        <w:rPr>
          <w:rFonts w:eastAsia="仿宋_GB2312" w:cs="仿宋_GB2312" w:hint="eastAsia"/>
          <w:sz w:val="32"/>
          <w:szCs w:val="32"/>
        </w:rPr>
        <w:t>（图4：财政拨款收、支决算总计变动情况）（柱状图）</w:t>
      </w:r>
    </w:p>
    <w:p>
      <w:pPr>
        <w:pStyle w:val="2"/>
        <w:bidi w:val="0"/>
        <w:ind w:firstLineChars="100" w:firstLine="320"/>
      </w:pPr>
      <w:bookmarkStart w:id="64" w:name="_Toc1106470594_WPSOffice_Level2"/>
      <w:bookmarkStart w:id="65" w:name="_Toc15396607"/>
      <w:bookmarkStart w:id="66" w:name="_Toc15377209"/>
      <w:r>
        <w:rPr>
          <w:rFonts w:hint="eastAsia"/>
        </w:rPr>
        <w:t>五、一般公共预算财政拨款支出决算情况说明</w:t>
      </w:r>
      <w:bookmarkEnd w:id="64"/>
      <w:bookmarkEnd w:id="65"/>
      <w:bookmarkEnd w:id="66"/>
    </w:p>
    <w:p>
      <w:pPr>
        <w:spacing w:line="600" w:lineRule="exact"/>
        <w:ind w:firstLineChars="200" w:firstLine="640"/>
        <w:outlineLvl w:val="2"/>
        <w:rPr>
          <w:rFonts w:eastAsia="楷体_GB2312" w:cs="楷体_GB2312"/>
          <w:b/>
          <w:sz w:val="32"/>
          <w:szCs w:val="32"/>
        </w:rPr>
      </w:pPr>
      <w:bookmarkStart w:id="67" w:name="_Toc15377210"/>
      <w:r>
        <w:rPr>
          <w:rFonts w:eastAsia="楷体_GB2312" w:cs="楷体_GB2312" w:hint="eastAsia"/>
          <w:b/>
          <w:sz w:val="32"/>
          <w:szCs w:val="32"/>
        </w:rPr>
        <w:t>（一）一般公共预算财政拨款支出决算总体情况</w:t>
      </w:r>
      <w:bookmarkEnd w:id="67"/>
    </w:p>
    <w:p>
      <w:pPr>
        <w:spacing w:line="600" w:lineRule="exact"/>
        <w:ind w:firstLine="640"/>
        <w:rPr>
          <w:rFonts w:eastAsia="仿宋_GB2312" w:cs="仿宋_GB2312" w:hint="eastAsia"/>
          <w:sz w:val="32"/>
          <w:szCs w:val="32"/>
          <w:lang w:eastAsia="zh-CN"/>
        </w:rPr>
      </w:pPr>
      <w:r>
        <w:rPr>
          <w:rFonts w:eastAsia="仿宋_GB2312" w:cs="仿宋_GB2312" w:hint="eastAsia"/>
          <w:sz w:val="32"/>
          <w:szCs w:val="32"/>
        </w:rPr>
        <w:t>2025年度一般公共预算财政拨款支出</w:t>
      </w:r>
      <w:r>
        <w:rPr>
          <w:rFonts w:eastAsia="仿宋_GB2312" w:cs="仿宋_GB2312"/>
          <w:sz w:val="32"/>
          <w:szCs w:val="32"/>
          <w:lang w:eastAsia="zh-CN"/>
        </w:rPr>
        <w:t>4,898.53</w:t>
      </w:r>
      <w:r>
        <w:rPr>
          <w:rFonts w:eastAsia="仿宋_GB2312" w:cs="仿宋_GB2312" w:hint="eastAsia"/>
          <w:sz w:val="32"/>
          <w:szCs w:val="32"/>
        </w:rPr>
        <w:t>万元，占本年支出合计的</w:t>
      </w:r>
      <w:r>
        <w:rPr>
          <w:rFonts w:eastAsia="仿宋_GB2312" w:cs="仿宋_GB2312"/>
          <w:sz w:val="32"/>
          <w:szCs w:val="32"/>
        </w:rPr>
        <w:t>99</w:t>
      </w:r>
      <w:r>
        <w:rPr>
          <w:rFonts w:eastAsia="仿宋_GB2312" w:cs="仿宋_GB2312" w:hint="eastAsia"/>
          <w:sz w:val="32"/>
          <w:szCs w:val="32"/>
        </w:rPr>
        <w:t>%。与上年度相比，一般公共预算财政拨款支出增加</w:t>
      </w:r>
      <w:r>
        <w:rPr>
          <w:rFonts w:eastAsia="仿宋_GB2312" w:cs="仿宋_GB2312"/>
          <w:sz w:val="32"/>
          <w:szCs w:val="32"/>
        </w:rPr>
        <w:t>180.2</w:t>
      </w:r>
      <w:r>
        <w:rPr>
          <w:rFonts w:eastAsia="仿宋_GB2312" w:cs="仿宋_GB2312" w:hint="eastAsia"/>
          <w:sz w:val="32"/>
          <w:szCs w:val="32"/>
        </w:rPr>
        <w:t>万元，增长</w:t>
      </w:r>
      <w:r>
        <w:rPr>
          <w:rFonts w:eastAsia="仿宋_GB2312" w:cs="仿宋_GB2312"/>
          <w:sz w:val="32"/>
          <w:szCs w:val="32"/>
        </w:rPr>
        <w:t>3.8</w:t>
      </w:r>
      <w:r>
        <w:rPr>
          <w:rFonts w:eastAsia="仿宋_GB2312" w:cs="仿宋_GB2312" w:hint="eastAsia"/>
          <w:sz w:val="32"/>
          <w:szCs w:val="32"/>
        </w:rPr>
        <w:t>%。主要变动原因</w:t>
      </w:r>
      <w:r>
        <w:rPr>
          <w:rFonts w:eastAsia="仿宋_GB2312" w:cs="仿宋_GB2312" w:hint="eastAsia"/>
          <w:sz w:val="32"/>
          <w:szCs w:val="32"/>
          <w:lang w:eastAsia="zh-CN"/>
        </w:rPr>
        <w:t>一是人员经费增加；二是新增抗战胜利80周年一次性补助、武警攀枝花支队军史长廊改造项目等项目经费。</w:t>
      </w:r>
    </w:p>
    <w:p>
      <w:pPr>
        <w:pStyle w:val="17"/>
        <w:rPr>
          <w:rFonts w:hint="eastAsia"/>
          <w:lang w:eastAsia="zh-CN"/>
        </w:rPr>
      </w:pPr>
    </w:p>
    <w:p>
      <w:pPr>
        <w:pStyle w:val="17"/>
        <w:rPr>
          <w:rFonts w:hint="eastAsia"/>
          <w:lang w:eastAsia="zh-CN"/>
        </w:rPr>
      </w:pPr>
    </w:p>
    <w:p>
      <w:pPr>
        <w:spacing w:line="600" w:lineRule="exact"/>
        <w:rPr>
          <w:rFonts w:eastAsia="仿宋_GB2312" w:cs="仿宋_GB2312" w:hint="eastAsia"/>
          <w:sz w:val="32"/>
          <w:szCs w:val="32"/>
        </w:rPr>
      </w:pPr>
    </w:p>
    <w:p>
      <w:pPr>
        <w:spacing w:line="600" w:lineRule="exact"/>
        <w:rPr>
          <w:rFonts w:eastAsia="仿宋_GB2312" w:cs="仿宋_GB2312"/>
          <w:sz w:val="30"/>
          <w:szCs w:val="30"/>
        </w:rPr>
      </w:pPr>
      <w:r>
        <w:rPr>
          <w:sz w:val="30"/>
          <w:szCs w:val="30"/>
        </w:rPr>
        <w:drawing>
          <wp:anchor distT="0" distB="0" distL="114300" distR="114300" simplePos="0" relativeHeight="29" behindDoc="0" locked="0" layoutInCell="1" hidden="0" allowOverlap="1">
            <wp:simplePos x="0" y="0"/>
            <wp:positionH relativeFrom="column">
              <wp:posOffset>-19050</wp:posOffset>
            </wp:positionH>
            <wp:positionV relativeFrom="paragraph">
              <wp:posOffset>66675</wp:posOffset>
            </wp:positionV>
            <wp:extent cx="5269864" cy="3606800"/>
            <wp:effectExtent l="0" t="0" r="0" b="0"/>
            <wp:wrapTopAndBottom/>
            <wp:docPr id="16" name="图片 8"/>
            <wp:cNvGraphicFramePr>
              <a:graphicFrameLocks noChangeAspect="0"/>
            </wp:cNvGraphicFramePr>
            <a:graphic>
              <a:graphicData uri="http://schemas.openxmlformats.org/drawingml/2006/picture">
                <pic:pic>
                  <pic:nvPicPr>
                    <pic:cNvPr id="18" name="图片 8 18"/>
                    <pic:cNvPicPr/>
                  </pic:nvPicPr>
                  <pic:blipFill>
                    <a:blip r:embed="rId12"/>
                    <a:stretch>
                      <a:fillRect/>
                    </a:stretch>
                  </pic:blipFill>
                  <pic:spPr>
                    <a:xfrm rot="0">
                      <a:off x="0" y="0"/>
                      <a:ext cx="5269864" cy="3606800"/>
                    </a:xfrm>
                    <a:prstGeom prst="rect"/>
                    <a:noFill/>
                    <a:ln w="9525" cmpd="sng" cap="flat">
                      <a:noFill/>
                      <a:prstDash val="solid"/>
                      <a:round/>
                    </a:ln>
                  </pic:spPr>
                </pic:pic>
              </a:graphicData>
            </a:graphic>
          </wp:anchor>
        </w:drawing>
      </w:r>
      <w:r>
        <w:rPr>
          <w:rFonts w:eastAsia="仿宋_GB2312" w:cs="仿宋_GB2312" w:hint="eastAsia"/>
          <w:sz w:val="30"/>
          <w:szCs w:val="30"/>
        </w:rPr>
        <w:t>（图5：一般公共预算财政拨款支出决算变动情况）（柱状图）</w:t>
      </w:r>
    </w:p>
    <w:p>
      <w:pPr>
        <w:spacing w:line="600" w:lineRule="exact"/>
        <w:ind w:firstLineChars="200" w:firstLine="640"/>
        <w:outlineLvl w:val="2"/>
        <w:rPr>
          <w:rFonts w:eastAsia="楷体_GB2312" w:cs="楷体_GB2312"/>
          <w:b/>
          <w:sz w:val="32"/>
          <w:szCs w:val="32"/>
        </w:rPr>
      </w:pPr>
      <w:bookmarkStart w:id="68" w:name="_Toc15377211"/>
      <w:r>
        <w:rPr>
          <w:rFonts w:eastAsia="楷体_GB2312" w:cs="楷体_GB2312" w:hint="eastAsia"/>
          <w:b/>
          <w:sz w:val="32"/>
          <w:szCs w:val="32"/>
        </w:rPr>
        <w:t>（二）一般公共预算财政拨款支出决算结构情况</w:t>
      </w:r>
      <w:bookmarkEnd w:id="68"/>
    </w:p>
    <w:p>
      <w:pPr>
        <w:spacing w:line="600" w:lineRule="exact"/>
        <w:ind w:firstLine="640"/>
        <w:rPr>
          <w:rFonts w:eastAsia="仿宋_GB2312" w:cs="仿宋_GB2312" w:hint="eastAsia"/>
          <w:sz w:val="32"/>
          <w:szCs w:val="32"/>
          <w:lang w:eastAsia="zh-CN"/>
        </w:rPr>
      </w:pPr>
      <w:r>
        <w:rPr>
          <w:rFonts w:eastAsia="仿宋_GB2312" w:cs="仿宋_GB2312" w:hint="eastAsia"/>
          <w:sz w:val="32"/>
          <w:szCs w:val="32"/>
        </w:rPr>
        <w:t>2025年度一般公共预算财政拨款支出</w:t>
      </w:r>
      <w:r>
        <w:rPr>
          <w:rFonts w:eastAsia="仿宋_GB2312" w:cs="仿宋_GB2312"/>
          <w:sz w:val="32"/>
          <w:szCs w:val="32"/>
        </w:rPr>
        <w:t>4,898.53</w:t>
      </w:r>
      <w:r>
        <w:rPr>
          <w:rFonts w:eastAsia="仿宋_GB2312" w:cs="仿宋_GB2312" w:hint="eastAsia"/>
          <w:sz w:val="32"/>
          <w:szCs w:val="32"/>
        </w:rPr>
        <w:t>万元，主要用于以下方面：一般公共服务支出</w:t>
      </w:r>
      <w:r>
        <w:rPr>
          <w:rFonts w:eastAsia="仿宋_GB2312" w:cs="仿宋_GB2312"/>
          <w:sz w:val="32"/>
          <w:szCs w:val="32"/>
        </w:rPr>
        <w:t>2.81</w:t>
      </w:r>
      <w:r>
        <w:rPr>
          <w:rFonts w:eastAsia="仿宋_GB2312" w:cs="仿宋_GB2312" w:hint="eastAsia"/>
          <w:sz w:val="32"/>
          <w:szCs w:val="32"/>
          <w:lang w:eastAsia="zh-CN"/>
        </w:rPr>
        <w:t>万元，占</w:t>
      </w:r>
      <w:r>
        <w:rPr>
          <w:rFonts w:eastAsia="仿宋_GB2312" w:cs="仿宋_GB2312"/>
          <w:sz w:val="32"/>
          <w:szCs w:val="32"/>
          <w:lang w:eastAsia="zh-CN"/>
        </w:rPr>
        <w:t>0.1%;</w:t>
      </w:r>
      <w:r>
        <w:rPr>
          <w:rFonts w:eastAsia="仿宋_GB2312" w:cs="仿宋_GB2312" w:hint="eastAsia"/>
          <w:sz w:val="32"/>
          <w:szCs w:val="32"/>
          <w:lang w:val="en-US" w:eastAsia="zh-CN"/>
        </w:rPr>
        <w:t xml:space="preserve"> </w:t>
      </w:r>
      <w:r>
        <w:rPr>
          <w:rFonts w:eastAsia="仿宋_GB2312" w:cs="仿宋_GB2312" w:hint="eastAsia"/>
          <w:sz w:val="32"/>
          <w:szCs w:val="32"/>
        </w:rPr>
        <w:t>社会保障和就业支出</w:t>
      </w:r>
      <w:r>
        <w:rPr>
          <w:rFonts w:eastAsia="仿宋_GB2312" w:cs="仿宋_GB2312" w:hint="eastAsia"/>
          <w:sz w:val="32"/>
          <w:szCs w:val="32"/>
          <w:lang w:val="en-US" w:eastAsia="zh-CN"/>
        </w:rPr>
        <w:t>4</w:t>
      </w:r>
      <w:r>
        <w:rPr>
          <w:rFonts w:eastAsia="仿宋_GB2312" w:cs="仿宋_GB2312"/>
          <w:sz w:val="32"/>
          <w:szCs w:val="32"/>
          <w:lang w:eastAsia="zh-CN"/>
        </w:rPr>
        <w:t>,</w:t>
      </w:r>
      <w:r>
        <w:rPr>
          <w:rFonts w:eastAsia="仿宋_GB2312" w:cs="仿宋_GB2312" w:hint="eastAsia"/>
          <w:sz w:val="32"/>
          <w:szCs w:val="32"/>
          <w:lang w:val="en-US" w:eastAsia="zh-CN"/>
        </w:rPr>
        <w:t>764.29</w:t>
      </w:r>
      <w:r>
        <w:rPr>
          <w:rFonts w:eastAsia="仿宋_GB2312" w:cs="仿宋_GB2312" w:hint="eastAsia"/>
          <w:sz w:val="32"/>
          <w:szCs w:val="32"/>
        </w:rPr>
        <w:t>万元，占</w:t>
      </w:r>
      <w:r>
        <w:rPr>
          <w:rFonts w:eastAsia="仿宋_GB2312" w:cs="仿宋_GB2312"/>
          <w:sz w:val="32"/>
          <w:szCs w:val="32"/>
        </w:rPr>
        <w:t>97.3</w:t>
      </w:r>
      <w:r>
        <w:rPr>
          <w:rFonts w:eastAsia="仿宋_GB2312" w:cs="仿宋_GB2312" w:hint="eastAsia"/>
          <w:sz w:val="32"/>
          <w:szCs w:val="32"/>
        </w:rPr>
        <w:t>%；卫生健康支出</w:t>
      </w:r>
      <w:r>
        <w:rPr>
          <w:rFonts w:eastAsia="仿宋_GB2312" w:cs="仿宋_GB2312"/>
          <w:sz w:val="32"/>
          <w:szCs w:val="32"/>
        </w:rPr>
        <w:t>57.15</w:t>
      </w:r>
      <w:r>
        <w:rPr>
          <w:rFonts w:eastAsia="仿宋_GB2312" w:cs="仿宋_GB2312" w:hint="eastAsia"/>
          <w:sz w:val="32"/>
          <w:szCs w:val="32"/>
        </w:rPr>
        <w:t>万元，占</w:t>
      </w:r>
      <w:r>
        <w:rPr>
          <w:rFonts w:eastAsia="仿宋_GB2312" w:cs="仿宋_GB2312"/>
          <w:sz w:val="32"/>
          <w:szCs w:val="32"/>
        </w:rPr>
        <w:t>1.2</w:t>
      </w:r>
      <w:r>
        <w:rPr>
          <w:rFonts w:eastAsia="仿宋_GB2312" w:cs="仿宋_GB2312" w:hint="eastAsia"/>
          <w:sz w:val="32"/>
          <w:szCs w:val="32"/>
        </w:rPr>
        <w:t>%；住房保障支出</w:t>
      </w:r>
      <w:r>
        <w:rPr>
          <w:rFonts w:eastAsia="仿宋_GB2312" w:cs="仿宋_GB2312"/>
          <w:sz w:val="32"/>
          <w:szCs w:val="32"/>
        </w:rPr>
        <w:t>74.28</w:t>
      </w:r>
      <w:r>
        <w:rPr>
          <w:rFonts w:eastAsia="仿宋_GB2312" w:cs="仿宋_GB2312" w:hint="eastAsia"/>
          <w:sz w:val="32"/>
          <w:szCs w:val="32"/>
        </w:rPr>
        <w:t>万元，占</w:t>
      </w:r>
      <w:r>
        <w:rPr>
          <w:rFonts w:eastAsia="仿宋_GB2312" w:cs="仿宋_GB2312"/>
          <w:sz w:val="32"/>
          <w:szCs w:val="32"/>
        </w:rPr>
        <w:t>1.4</w:t>
      </w:r>
      <w:r>
        <w:rPr>
          <w:rFonts w:eastAsia="仿宋_GB2312" w:cs="仿宋_GB2312" w:hint="eastAsia"/>
          <w:sz w:val="32"/>
          <w:szCs w:val="32"/>
        </w:rPr>
        <w:t>%</w:t>
      </w:r>
      <w:r>
        <w:rPr>
          <w:rFonts w:eastAsia="仿宋_GB2312" w:cs="仿宋_GB2312" w:hint="eastAsia"/>
          <w:sz w:val="32"/>
          <w:szCs w:val="32"/>
          <w:lang w:eastAsia="zh-CN"/>
        </w:rPr>
        <w:t>。</w:t>
      </w:r>
    </w:p>
    <w:p>
      <w:pPr>
        <w:rPr>
          <w:rFonts w:eastAsia="仿宋_GB2312" w:cs="仿宋_GB2312" w:hint="eastAsia"/>
          <w:sz w:val="32"/>
          <w:szCs w:val="32"/>
          <w:lang w:eastAsia="zh-CN"/>
        </w:rPr>
      </w:pPr>
    </w:p>
    <w:p>
      <w:pPr>
        <w:pStyle w:val="16"/>
        <w:rPr>
          <w:rFonts w:eastAsia="仿宋_GB2312" w:cs="仿宋_GB2312" w:hint="eastAsia"/>
          <w:sz w:val="32"/>
          <w:szCs w:val="32"/>
          <w:lang w:eastAsia="zh-CN"/>
        </w:rPr>
      </w:pPr>
    </w:p>
    <w:p>
      <w:pPr>
        <w:rPr>
          <w:rFonts w:hint="eastAsia"/>
          <w:lang w:eastAsia="zh-CN"/>
        </w:rPr>
      </w:pPr>
    </w:p>
    <w:p>
      <w:pPr>
        <w:spacing w:line="600" w:lineRule="exact"/>
        <w:ind w:firstLine="640"/>
        <w:rPr>
          <w:rFonts w:eastAsia="仿宋_GB2312" w:cs="仿宋_GB2312" w:hint="eastAsia"/>
          <w:sz w:val="32"/>
          <w:szCs w:val="32"/>
          <w:lang w:eastAsia="zh-CN"/>
        </w:rPr>
      </w:pPr>
    </w:p>
    <w:p>
      <w:pPr>
        <w:pStyle w:val="17"/>
        <w:rPr>
          <w:rFonts w:hint="eastAsia"/>
          <w:lang w:eastAsia="zh-CN"/>
        </w:rPr>
      </w:pPr>
    </w:p>
    <w:p>
      <w:pPr>
        <w:spacing w:line="600" w:lineRule="exact"/>
        <w:rPr>
          <w:rFonts w:eastAsia="仿宋_GB2312" w:cs="仿宋_GB2312" w:hint="eastAsia"/>
          <w:sz w:val="32"/>
          <w:szCs w:val="32"/>
          <w:lang w:eastAsia="zh-CN"/>
        </w:rPr>
      </w:pPr>
    </w:p>
    <w:p>
      <w:pPr>
        <w:spacing w:line="600" w:lineRule="exact"/>
        <w:rPr>
          <w:rFonts w:eastAsia="仿宋_GB2312" w:cs="仿宋_GB2312" w:hint="eastAsia"/>
          <w:sz w:val="32"/>
          <w:szCs w:val="32"/>
        </w:rPr>
      </w:pPr>
    </w:p>
    <w:p>
      <w:pPr>
        <w:spacing w:line="600" w:lineRule="exact"/>
        <w:rPr>
          <w:rFonts w:eastAsia="仿宋_GB2312" w:cs="仿宋_GB2312"/>
          <w:sz w:val="32"/>
          <w:szCs w:val="32"/>
        </w:rPr>
      </w:pPr>
      <w:r>
        <w:rPr>
          <w:rFonts w:eastAsia="仿宋_GB2312" w:cs="仿宋_GB2312" w:hint="eastAsia"/>
          <w:sz w:val="32"/>
          <w:szCs w:val="32"/>
        </w:rPr>
        <w:t>（图6：一般公共预算财政拨款支出决算结构）（饼状图）</w:t>
      </w:r>
      <w:r>
        <w:drawing>
          <wp:anchor distT="0" distB="0" distL="114300" distR="114300" simplePos="0" relativeHeight="31" behindDoc="0" locked="0" layoutInCell="1" hidden="0" allowOverlap="1">
            <wp:simplePos x="0" y="0"/>
            <wp:positionH relativeFrom="column">
              <wp:posOffset>196850</wp:posOffset>
            </wp:positionH>
            <wp:positionV relativeFrom="page">
              <wp:posOffset>887095</wp:posOffset>
            </wp:positionV>
            <wp:extent cx="5081905" cy="3465830"/>
            <wp:effectExtent l="0" t="0" r="0" b="0"/>
            <wp:wrapTopAndBottom/>
            <wp:docPr id="19" name="图片 9"/>
            <wp:cNvGraphicFramePr>
              <a:graphicFrameLocks noChangeAspect="0"/>
            </wp:cNvGraphicFramePr>
            <a:graphic>
              <a:graphicData uri="http://schemas.openxmlformats.org/drawingml/2006/picture">
                <pic:pic>
                  <pic:nvPicPr>
                    <pic:cNvPr id="21" name="图片 9 21"/>
                    <pic:cNvPicPr/>
                  </pic:nvPicPr>
                  <pic:blipFill>
                    <a:blip r:embed="rId13"/>
                    <a:stretch>
                      <a:fillRect/>
                    </a:stretch>
                  </pic:blipFill>
                  <pic:spPr>
                    <a:xfrm rot="0">
                      <a:off x="0" y="0"/>
                      <a:ext cx="5081905" cy="3465830"/>
                    </a:xfrm>
                    <a:prstGeom prst="rect"/>
                    <a:noFill/>
                    <a:ln w="9525" cmpd="sng" cap="flat">
                      <a:noFill/>
                      <a:prstDash val="solid"/>
                      <a:round/>
                    </a:ln>
                  </pic:spPr>
                </pic:pic>
              </a:graphicData>
            </a:graphic>
          </wp:anchor>
        </w:drawing>
      </w:r>
    </w:p>
    <w:p>
      <w:pPr>
        <w:spacing w:line="600" w:lineRule="exact"/>
        <w:ind w:firstLineChars="200" w:firstLine="640"/>
        <w:outlineLvl w:val="2"/>
        <w:rPr>
          <w:rFonts w:eastAsia="楷体_GB2312" w:cs="楷体_GB2312"/>
          <w:b/>
          <w:sz w:val="32"/>
          <w:szCs w:val="32"/>
        </w:rPr>
      </w:pPr>
      <w:bookmarkStart w:id="69" w:name="_Toc15377212"/>
      <w:r>
        <w:rPr>
          <w:rFonts w:eastAsia="楷体_GB2312" w:cs="楷体_GB2312" w:hint="eastAsia"/>
          <w:b/>
          <w:sz w:val="32"/>
          <w:szCs w:val="32"/>
        </w:rPr>
        <w:t>（三）一般公共预算财政拨款支出决算具体情况</w:t>
      </w:r>
      <w:bookmarkEnd w:id="69"/>
    </w:p>
    <w:p>
      <w:pPr>
        <w:spacing w:line="600" w:lineRule="exact"/>
        <w:ind w:firstLine="640"/>
        <w:rPr>
          <w:rFonts w:eastAsia="仿宋_GB2312" w:cs="仿宋_GB2312"/>
          <w:sz w:val="32"/>
          <w:szCs w:val="32"/>
        </w:rPr>
      </w:pPr>
      <w:bookmarkStart w:id="70" w:name="_Toc15377444"/>
      <w:bookmarkStart w:id="71" w:name="_Toc15377213"/>
      <w:bookmarkStart w:id="72" w:name="_Toc15378460"/>
      <w:r>
        <w:rPr>
          <w:rFonts w:eastAsia="仿宋_GB2312" w:cs="仿宋_GB2312" w:hint="eastAsia"/>
          <w:sz w:val="32"/>
          <w:szCs w:val="32"/>
        </w:rPr>
        <w:t>2025年度一般公共预算支出决算数为</w:t>
      </w:r>
      <w:r>
        <w:rPr>
          <w:rFonts w:eastAsia="仿宋_GB2312" w:cs="仿宋_GB2312" w:hint="eastAsia"/>
          <w:sz w:val="32"/>
          <w:szCs w:val="32"/>
          <w:lang w:val="en-US" w:eastAsia="zh-CN"/>
        </w:rPr>
        <w:t>4</w:t>
      </w:r>
      <w:r>
        <w:rPr>
          <w:rFonts w:eastAsia="仿宋_GB2312" w:cs="仿宋_GB2312"/>
          <w:sz w:val="32"/>
          <w:szCs w:val="32"/>
          <w:lang w:eastAsia="zh-CN"/>
        </w:rPr>
        <w:t>,</w:t>
      </w:r>
      <w:r>
        <w:rPr>
          <w:rFonts w:eastAsia="仿宋_GB2312" w:cs="仿宋_GB2312" w:hint="eastAsia"/>
          <w:sz w:val="32"/>
          <w:szCs w:val="32"/>
          <w:lang w:val="en-US" w:eastAsia="zh-CN"/>
        </w:rPr>
        <w:t>898.53万元</w:t>
      </w:r>
      <w:r>
        <w:rPr>
          <w:rFonts w:eastAsia="仿宋_GB2312" w:cs="仿宋_GB2312" w:hint="eastAsia"/>
          <w:sz w:val="32"/>
          <w:szCs w:val="32"/>
        </w:rPr>
        <w:t>，完成预算</w:t>
      </w:r>
      <w:r>
        <w:rPr>
          <w:rFonts w:eastAsia="仿宋_GB2312" w:cs="仿宋_GB2312"/>
          <w:sz w:val="32"/>
          <w:szCs w:val="32"/>
        </w:rPr>
        <w:t>100</w:t>
      </w:r>
      <w:r>
        <w:rPr>
          <w:rFonts w:eastAsia="仿宋_GB2312" w:cs="仿宋_GB2312" w:hint="eastAsia"/>
          <w:sz w:val="32"/>
          <w:szCs w:val="32"/>
        </w:rPr>
        <w:t>%。其中：</w:t>
      </w:r>
      <w:bookmarkEnd w:id="70"/>
      <w:bookmarkEnd w:id="71"/>
      <w:bookmarkEnd w:id="72"/>
    </w:p>
    <w:p>
      <w:pPr>
        <w:spacing w:line="600" w:lineRule="exact"/>
        <w:ind w:firstLine="640"/>
        <w:rPr>
          <w:rFonts w:eastAsia="仿宋_GB2312" w:cs="仿宋_GB2312" w:hint="eastAsia"/>
          <w:sz w:val="32"/>
          <w:szCs w:val="32"/>
        </w:rPr>
      </w:pPr>
      <w:r>
        <w:rPr>
          <w:rFonts w:eastAsia="仿宋_GB2312" w:cs="仿宋_GB2312" w:hint="eastAsia"/>
          <w:sz w:val="32"/>
          <w:szCs w:val="32"/>
          <w:lang w:val="en-US" w:eastAsia="zh-CN"/>
        </w:rPr>
        <w:t>1.</w:t>
      </w:r>
      <w:r>
        <w:rPr>
          <w:rFonts w:eastAsia="仿宋_GB2312" w:cs="仿宋_GB2312" w:hint="eastAsia"/>
          <w:sz w:val="32"/>
          <w:szCs w:val="32"/>
        </w:rPr>
        <w:t>一般公共服务支出（类）组织事务（款）其他组织事务支出（项）:</w:t>
      </w:r>
      <w:r>
        <w:rPr>
          <w:rFonts w:eastAsia="仿宋_GB2312" w:cs="仿宋_GB2312" w:hint="eastAsia"/>
          <w:sz w:val="32"/>
          <w:szCs w:val="32"/>
          <w:lang w:val="en-US" w:eastAsia="zh-CN"/>
        </w:rPr>
        <w:t>支出决算为</w:t>
      </w:r>
      <w:r>
        <w:rPr>
          <w:rFonts w:eastAsia="仿宋_GB2312" w:cs="仿宋_GB2312"/>
          <w:sz w:val="32"/>
          <w:szCs w:val="32"/>
          <w:lang w:eastAsia="zh-CN"/>
        </w:rPr>
        <w:t>2.81</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2</w:t>
      </w:r>
      <w:r>
        <w:rPr>
          <w:rFonts w:eastAsia="仿宋_GB2312" w:cs="仿宋_GB2312" w:hint="eastAsia"/>
          <w:sz w:val="32"/>
          <w:szCs w:val="32"/>
        </w:rPr>
        <w:t>.社会保障和就业支出（类）行政事业单位养老支出（款）行政单位离退休（项）:</w:t>
      </w:r>
      <w:r>
        <w:rPr>
          <w:rFonts w:eastAsia="仿宋_GB2312" w:cs="仿宋_GB2312" w:hint="eastAsia"/>
          <w:sz w:val="32"/>
          <w:szCs w:val="32"/>
          <w:lang w:val="en-US" w:eastAsia="zh-CN"/>
        </w:rPr>
        <w:t>支出决算为11.</w:t>
      </w:r>
      <w:r>
        <w:rPr>
          <w:rFonts w:eastAsia="仿宋_GB2312" w:cs="仿宋_GB2312"/>
          <w:sz w:val="32"/>
          <w:szCs w:val="32"/>
          <w:lang w:eastAsia="zh-CN"/>
        </w:rPr>
        <w:t>74</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3</w:t>
      </w:r>
      <w:r>
        <w:rPr>
          <w:rFonts w:eastAsia="仿宋_GB2312" w:cs="仿宋_GB2312" w:hint="eastAsia"/>
          <w:sz w:val="32"/>
          <w:szCs w:val="32"/>
        </w:rPr>
        <w:t>.社会保障和就业支出（类）行政事业单位养老支出（款）</w:t>
      </w:r>
      <w:r>
        <w:rPr>
          <w:rFonts w:eastAsia="仿宋_GB2312" w:cs="仿宋_GB2312" w:hint="eastAsia"/>
          <w:sz w:val="32"/>
          <w:szCs w:val="32"/>
          <w:lang w:eastAsia="zh-CN"/>
        </w:rPr>
        <w:t>事业</w:t>
      </w:r>
      <w:r>
        <w:rPr>
          <w:rFonts w:eastAsia="仿宋_GB2312" w:cs="仿宋_GB2312" w:hint="eastAsia"/>
          <w:sz w:val="32"/>
          <w:szCs w:val="32"/>
        </w:rPr>
        <w:t>单位离退休（项）:</w:t>
      </w:r>
      <w:r>
        <w:rPr>
          <w:rFonts w:eastAsia="仿宋_GB2312" w:cs="仿宋_GB2312" w:hint="eastAsia"/>
          <w:sz w:val="32"/>
          <w:szCs w:val="32"/>
          <w:lang w:val="en-US" w:eastAsia="zh-CN"/>
        </w:rPr>
        <w:t>支出决算为</w:t>
      </w:r>
      <w:r>
        <w:rPr>
          <w:rFonts w:eastAsia="仿宋_GB2312" w:cs="仿宋_GB2312"/>
          <w:sz w:val="32"/>
          <w:szCs w:val="32"/>
          <w:lang w:eastAsia="zh-CN"/>
        </w:rPr>
        <w:t>106.81</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4</w:t>
      </w:r>
      <w:r>
        <w:rPr>
          <w:rFonts w:eastAsia="仿宋_GB2312" w:cs="仿宋_GB2312" w:hint="eastAsia"/>
          <w:sz w:val="32"/>
          <w:szCs w:val="32"/>
        </w:rPr>
        <w:t>.社会保障和就业支出（类）行政事业单位养老支出（款）机关事业单位基本养老保险缴费支出（项）:</w:t>
      </w:r>
      <w:r>
        <w:rPr>
          <w:rFonts w:eastAsia="仿宋_GB2312" w:cs="仿宋_GB2312" w:hint="eastAsia"/>
          <w:sz w:val="32"/>
          <w:szCs w:val="32"/>
          <w:lang w:val="en-US" w:eastAsia="zh-CN"/>
        </w:rPr>
        <w:t>支出决算为</w:t>
      </w:r>
      <w:r>
        <w:rPr>
          <w:rFonts w:eastAsia="仿宋_GB2312" w:cs="仿宋_GB2312"/>
          <w:sz w:val="32"/>
          <w:szCs w:val="32"/>
          <w:lang w:eastAsia="zh-CN"/>
        </w:rPr>
        <w:t>98.83</w:t>
      </w:r>
      <w:r>
        <w:rPr>
          <w:rFonts w:eastAsia="仿宋_GB2312" w:cs="仿宋_GB2312" w:hint="eastAsia"/>
          <w:sz w:val="32"/>
          <w:szCs w:val="32"/>
          <w:lang w:val="en-US" w:eastAsia="zh-CN"/>
        </w:rPr>
        <w:t>万元，完成预算100%，决算数与预算数持平。</w:t>
      </w:r>
    </w:p>
    <w:p>
      <w:pPr>
        <w:spacing w:line="600" w:lineRule="exact"/>
        <w:ind w:firstLine="640"/>
        <w:rPr>
          <w:rFonts w:hint="eastAsia"/>
          <w:lang w:val="en-US" w:eastAsia="zh-CN"/>
        </w:rPr>
      </w:pPr>
      <w:r>
        <w:rPr>
          <w:rFonts w:eastAsia="仿宋_GB2312" w:cs="仿宋_GB2312"/>
          <w:sz w:val="32"/>
          <w:szCs w:val="32"/>
        </w:rPr>
        <w:t>5</w:t>
      </w:r>
      <w:r>
        <w:rPr>
          <w:rFonts w:eastAsia="仿宋_GB2312" w:cs="仿宋_GB2312" w:hint="eastAsia"/>
          <w:sz w:val="32"/>
          <w:szCs w:val="32"/>
        </w:rPr>
        <w:t>.社会保障和就业支出（类）行政事业单位养老支出（款）机关事业单位职业年金缴费支出（项）:</w:t>
      </w:r>
      <w:r>
        <w:rPr>
          <w:rFonts w:eastAsia="仿宋_GB2312" w:cs="仿宋_GB2312" w:hint="eastAsia"/>
          <w:sz w:val="32"/>
          <w:szCs w:val="32"/>
          <w:lang w:val="en-US" w:eastAsia="zh-CN"/>
        </w:rPr>
        <w:t>支出决算为</w:t>
      </w:r>
      <w:r>
        <w:rPr>
          <w:rFonts w:eastAsia="仿宋_GB2312" w:cs="仿宋_GB2312"/>
          <w:sz w:val="32"/>
          <w:szCs w:val="32"/>
          <w:lang w:eastAsia="zh-CN"/>
        </w:rPr>
        <w:t>10.72</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sz w:val="32"/>
          <w:szCs w:val="32"/>
        </w:rPr>
        <w:t>6</w:t>
      </w:r>
      <w:r>
        <w:rPr>
          <w:rFonts w:eastAsia="仿宋_GB2312" w:cs="仿宋_GB2312" w:hint="eastAsia"/>
          <w:sz w:val="32"/>
          <w:szCs w:val="32"/>
        </w:rPr>
        <w:t>.社会保障和就业支出（类）抚恤（款）死亡抚恤（项）:</w:t>
      </w:r>
      <w:r>
        <w:rPr>
          <w:rFonts w:eastAsia="仿宋_GB2312" w:cs="仿宋_GB2312" w:hint="eastAsia"/>
          <w:sz w:val="32"/>
          <w:szCs w:val="32"/>
          <w:lang w:val="en-US" w:eastAsia="zh-CN"/>
        </w:rPr>
        <w:t>支出决算为</w:t>
      </w:r>
      <w:r>
        <w:rPr>
          <w:rFonts w:eastAsia="仿宋_GB2312" w:cs="仿宋_GB2312"/>
          <w:sz w:val="32"/>
          <w:szCs w:val="32"/>
          <w:lang w:eastAsia="zh-CN"/>
        </w:rPr>
        <w:t>21.66</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sz w:val="32"/>
          <w:szCs w:val="32"/>
        </w:rPr>
        <w:t>7</w:t>
      </w:r>
      <w:r>
        <w:rPr>
          <w:rFonts w:eastAsia="仿宋_GB2312" w:cs="仿宋_GB2312" w:hint="eastAsia"/>
          <w:sz w:val="32"/>
          <w:szCs w:val="32"/>
        </w:rPr>
        <w:t>.社会保障和就业支出（类）抚恤（款）其他优抚支出（项）:</w:t>
      </w:r>
      <w:r>
        <w:rPr>
          <w:rFonts w:eastAsia="仿宋_GB2312" w:cs="仿宋_GB2312" w:hint="eastAsia"/>
          <w:sz w:val="32"/>
          <w:szCs w:val="32"/>
          <w:lang w:val="en-US" w:eastAsia="zh-CN"/>
        </w:rPr>
        <w:t>支出决算为</w:t>
      </w:r>
      <w:r>
        <w:rPr>
          <w:rFonts w:eastAsia="仿宋_GB2312" w:cs="仿宋_GB2312"/>
          <w:sz w:val="32"/>
          <w:szCs w:val="32"/>
          <w:lang w:eastAsia="zh-CN"/>
        </w:rPr>
        <w:t>3</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sz w:val="32"/>
          <w:szCs w:val="32"/>
        </w:rPr>
        <w:t>8</w:t>
      </w:r>
      <w:r>
        <w:rPr>
          <w:rFonts w:eastAsia="仿宋_GB2312" w:cs="仿宋_GB2312" w:hint="eastAsia"/>
          <w:sz w:val="32"/>
          <w:szCs w:val="32"/>
        </w:rPr>
        <w:t>.社会保障和就业支出（类）退役安置（款）军队移交政府的离退休人员安置（项）:</w:t>
      </w:r>
      <w:r>
        <w:rPr>
          <w:rFonts w:eastAsia="仿宋_GB2312" w:cs="仿宋_GB2312" w:hint="eastAsia"/>
          <w:sz w:val="32"/>
          <w:szCs w:val="32"/>
          <w:lang w:val="en-US" w:eastAsia="zh-CN"/>
        </w:rPr>
        <w:t>支出决算为</w:t>
      </w:r>
      <w:r>
        <w:rPr>
          <w:rFonts w:eastAsia="仿宋_GB2312" w:cs="仿宋_GB2312"/>
          <w:sz w:val="32"/>
          <w:szCs w:val="32"/>
          <w:lang w:eastAsia="zh-CN"/>
        </w:rPr>
        <w:t>520.74</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sz w:val="32"/>
          <w:szCs w:val="32"/>
        </w:rPr>
        <w:t>9</w:t>
      </w:r>
      <w:r>
        <w:rPr>
          <w:rFonts w:eastAsia="仿宋_GB2312" w:cs="仿宋_GB2312" w:hint="eastAsia"/>
          <w:sz w:val="32"/>
          <w:szCs w:val="32"/>
        </w:rPr>
        <w:t>.社会保障和就业支出（类）退役安置（款）军队移交政府离退休干部管理机构（项）:</w:t>
      </w:r>
      <w:r>
        <w:rPr>
          <w:rFonts w:eastAsia="仿宋_GB2312" w:cs="仿宋_GB2312" w:hint="eastAsia"/>
          <w:sz w:val="32"/>
          <w:szCs w:val="32"/>
          <w:lang w:val="en-US" w:eastAsia="zh-CN"/>
        </w:rPr>
        <w:t>支出决算为</w:t>
      </w:r>
      <w:r>
        <w:rPr>
          <w:rFonts w:eastAsia="仿宋_GB2312" w:cs="仿宋_GB2312"/>
          <w:sz w:val="32"/>
          <w:szCs w:val="32"/>
          <w:lang w:eastAsia="zh-CN"/>
        </w:rPr>
        <w:t>184.92</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rPr>
      </w:pPr>
      <w:r>
        <w:rPr>
          <w:rFonts w:eastAsia="仿宋_GB2312" w:cs="仿宋_GB2312"/>
          <w:sz w:val="32"/>
          <w:szCs w:val="32"/>
        </w:rPr>
        <w:t>10</w:t>
      </w:r>
      <w:r>
        <w:rPr>
          <w:rFonts w:eastAsia="仿宋_GB2312" w:cs="仿宋_GB2312" w:hint="eastAsia"/>
          <w:sz w:val="32"/>
          <w:szCs w:val="32"/>
        </w:rPr>
        <w:t>.社会保障和就业支出（类）退役安置（款）退役士兵管理教育（项）:</w:t>
      </w:r>
      <w:r>
        <w:rPr>
          <w:rFonts w:eastAsia="仿宋_GB2312" w:cs="仿宋_GB2312" w:hint="eastAsia"/>
          <w:sz w:val="32"/>
          <w:szCs w:val="32"/>
          <w:lang w:val="en-US" w:eastAsia="zh-CN"/>
        </w:rPr>
        <w:t>支出决算为</w:t>
      </w:r>
      <w:r>
        <w:rPr>
          <w:rFonts w:eastAsia="仿宋_GB2312" w:cs="仿宋_GB2312"/>
          <w:sz w:val="32"/>
          <w:szCs w:val="32"/>
          <w:lang w:eastAsia="zh-CN"/>
        </w:rPr>
        <w:t>6.01</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sz w:val="32"/>
          <w:szCs w:val="32"/>
          <w:lang w:val="en-US" w:eastAsia="zh-CN"/>
        </w:rPr>
      </w:pPr>
      <w:r>
        <w:rPr>
          <w:rFonts w:eastAsia="仿宋_GB2312" w:cs="仿宋_GB2312"/>
          <w:sz w:val="32"/>
          <w:szCs w:val="32"/>
          <w:lang w:eastAsia="zh-CN"/>
        </w:rPr>
        <w:t>11</w:t>
      </w:r>
      <w:r>
        <w:rPr>
          <w:rFonts w:eastAsia="仿宋_GB2312" w:cs="仿宋_GB2312" w:hint="eastAsia"/>
          <w:sz w:val="32"/>
          <w:szCs w:val="32"/>
          <w:lang w:val="en-US" w:eastAsia="zh-CN"/>
        </w:rPr>
        <w:t>.</w:t>
      </w:r>
      <w:r>
        <w:rPr>
          <w:rFonts w:eastAsia="仿宋_GB2312" w:cs="仿宋_GB2312" w:hint="eastAsia"/>
          <w:sz w:val="32"/>
          <w:szCs w:val="32"/>
        </w:rPr>
        <w:t>社会保障和就业支出（类）退役安置（款）军队转业干部安置（项）:</w:t>
      </w:r>
      <w:r>
        <w:rPr>
          <w:rFonts w:eastAsia="仿宋_GB2312" w:cs="仿宋_GB2312" w:hint="eastAsia"/>
          <w:sz w:val="32"/>
          <w:szCs w:val="32"/>
          <w:lang w:val="en-US" w:eastAsia="zh-CN"/>
        </w:rPr>
        <w:t>支出决算为</w:t>
      </w:r>
      <w:r>
        <w:rPr>
          <w:rFonts w:eastAsia="仿宋_GB2312" w:cs="仿宋_GB2312"/>
          <w:sz w:val="32"/>
          <w:szCs w:val="32"/>
          <w:lang w:eastAsia="zh-CN"/>
        </w:rPr>
        <w:t>2,920.06</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1</w:t>
      </w:r>
      <w:r>
        <w:rPr>
          <w:rFonts w:eastAsia="仿宋_GB2312" w:cs="仿宋_GB2312"/>
          <w:sz w:val="32"/>
          <w:szCs w:val="32"/>
          <w:lang w:eastAsia="zh-CN"/>
        </w:rPr>
        <w:t>2</w:t>
      </w:r>
      <w:r>
        <w:rPr>
          <w:rFonts w:eastAsia="仿宋_GB2312" w:cs="仿宋_GB2312" w:hint="eastAsia"/>
          <w:sz w:val="32"/>
          <w:szCs w:val="32"/>
        </w:rPr>
        <w:t>.社会保障和就业支出（类）退役安置（款）其他退役安置支出（项）:</w:t>
      </w:r>
      <w:r>
        <w:rPr>
          <w:rFonts w:eastAsia="仿宋_GB2312" w:cs="仿宋_GB2312" w:hint="eastAsia"/>
          <w:sz w:val="32"/>
          <w:szCs w:val="32"/>
          <w:lang w:val="en-US" w:eastAsia="zh-CN"/>
        </w:rPr>
        <w:t>支出决算为</w:t>
      </w:r>
      <w:r>
        <w:rPr>
          <w:rFonts w:eastAsia="仿宋_GB2312" w:cs="仿宋_GB2312"/>
          <w:sz w:val="32"/>
          <w:szCs w:val="32"/>
          <w:lang w:eastAsia="zh-CN"/>
        </w:rPr>
        <w:t>10.05</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1</w:t>
      </w:r>
      <w:r>
        <w:rPr>
          <w:rFonts w:eastAsia="仿宋_GB2312" w:cs="仿宋_GB2312"/>
          <w:sz w:val="32"/>
          <w:szCs w:val="32"/>
          <w:lang w:eastAsia="zh-CN"/>
        </w:rPr>
        <w:t>3</w:t>
      </w:r>
      <w:r>
        <w:rPr>
          <w:rFonts w:eastAsia="仿宋_GB2312" w:cs="仿宋_GB2312" w:hint="eastAsia"/>
          <w:sz w:val="32"/>
          <w:szCs w:val="32"/>
        </w:rPr>
        <w:t>.社会保障和就业支出（类）社会福利（款）儿童福利（项）:</w:t>
      </w:r>
      <w:r>
        <w:rPr>
          <w:rFonts w:eastAsia="仿宋_GB2312" w:cs="仿宋_GB2312" w:hint="eastAsia"/>
          <w:sz w:val="32"/>
          <w:szCs w:val="32"/>
          <w:lang w:val="en-US" w:eastAsia="zh-CN"/>
        </w:rPr>
        <w:t>支出决算为</w:t>
      </w:r>
      <w:r>
        <w:rPr>
          <w:rFonts w:eastAsia="仿宋_GB2312" w:cs="仿宋_GB2312"/>
          <w:sz w:val="32"/>
          <w:szCs w:val="32"/>
          <w:lang w:eastAsia="zh-CN"/>
        </w:rPr>
        <w:t>0.22</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1</w:t>
      </w:r>
      <w:r>
        <w:rPr>
          <w:rFonts w:eastAsia="仿宋_GB2312" w:cs="仿宋_GB2312"/>
          <w:sz w:val="32"/>
          <w:szCs w:val="32"/>
          <w:lang w:eastAsia="zh-CN"/>
        </w:rPr>
        <w:t>4</w:t>
      </w:r>
      <w:r>
        <w:rPr>
          <w:rFonts w:eastAsia="仿宋_GB2312" w:cs="仿宋_GB2312" w:hint="eastAsia"/>
          <w:sz w:val="32"/>
          <w:szCs w:val="32"/>
        </w:rPr>
        <w:t>.社会保障和就业支出（类）退役军人管理事务（款）    行政运行（项）:</w:t>
      </w:r>
      <w:r>
        <w:rPr>
          <w:rFonts w:eastAsia="仿宋_GB2312" w:cs="仿宋_GB2312" w:hint="eastAsia"/>
          <w:sz w:val="32"/>
          <w:szCs w:val="32"/>
          <w:lang w:val="en-US" w:eastAsia="zh-CN"/>
        </w:rPr>
        <w:t>支出决算为</w:t>
      </w:r>
      <w:r>
        <w:rPr>
          <w:rFonts w:eastAsia="仿宋_GB2312" w:cs="仿宋_GB2312"/>
          <w:sz w:val="32"/>
          <w:szCs w:val="32"/>
          <w:lang w:eastAsia="zh-CN"/>
        </w:rPr>
        <w:t>287.57</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1</w:t>
      </w:r>
      <w:r>
        <w:rPr>
          <w:rFonts w:eastAsia="仿宋_GB2312" w:cs="仿宋_GB2312"/>
          <w:sz w:val="32"/>
          <w:szCs w:val="32"/>
          <w:lang w:eastAsia="zh-CN"/>
        </w:rPr>
        <w:t>5</w:t>
      </w:r>
      <w:r>
        <w:rPr>
          <w:rFonts w:eastAsia="仿宋_GB2312" w:cs="仿宋_GB2312" w:hint="eastAsia"/>
          <w:sz w:val="32"/>
          <w:szCs w:val="32"/>
        </w:rPr>
        <w:t>.社会保障和就业支出（类）退役军人管理事务（款）    一般行政管理事务（项）:</w:t>
      </w:r>
      <w:r>
        <w:rPr>
          <w:rFonts w:eastAsia="仿宋_GB2312" w:cs="仿宋_GB2312" w:hint="eastAsia"/>
          <w:sz w:val="32"/>
          <w:szCs w:val="32"/>
          <w:lang w:val="en-US" w:eastAsia="zh-CN"/>
        </w:rPr>
        <w:t>支出决算为</w:t>
      </w:r>
      <w:r>
        <w:rPr>
          <w:rFonts w:eastAsia="仿宋_GB2312" w:cs="仿宋_GB2312"/>
          <w:sz w:val="32"/>
          <w:szCs w:val="32"/>
          <w:lang w:eastAsia="zh-CN"/>
        </w:rPr>
        <w:t>3.84</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1</w:t>
      </w:r>
      <w:r>
        <w:rPr>
          <w:rFonts w:eastAsia="仿宋_GB2312" w:cs="仿宋_GB2312"/>
          <w:sz w:val="32"/>
          <w:szCs w:val="32"/>
          <w:lang w:eastAsia="zh-CN"/>
        </w:rPr>
        <w:t>6</w:t>
      </w:r>
      <w:r>
        <w:rPr>
          <w:rFonts w:eastAsia="仿宋_GB2312" w:cs="仿宋_GB2312" w:hint="eastAsia"/>
          <w:sz w:val="32"/>
          <w:szCs w:val="32"/>
        </w:rPr>
        <w:t>.社会保障和就业支出（类）退役军人管理事务（款）      拥军优属（项）:</w:t>
      </w:r>
      <w:r>
        <w:rPr>
          <w:rFonts w:eastAsia="仿宋_GB2312" w:cs="仿宋_GB2312" w:hint="eastAsia"/>
          <w:sz w:val="32"/>
          <w:szCs w:val="32"/>
          <w:lang w:val="en-US" w:eastAsia="zh-CN"/>
        </w:rPr>
        <w:t>支出决算为</w:t>
      </w:r>
      <w:r>
        <w:rPr>
          <w:rFonts w:eastAsia="仿宋_GB2312" w:cs="仿宋_GB2312"/>
          <w:sz w:val="32"/>
          <w:szCs w:val="32"/>
          <w:lang w:eastAsia="zh-CN"/>
        </w:rPr>
        <w:t>44.72</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rPr>
      </w:pPr>
      <w:r>
        <w:rPr>
          <w:rFonts w:eastAsia="仿宋_GB2312" w:cs="仿宋_GB2312" w:hint="eastAsia"/>
          <w:sz w:val="32"/>
          <w:szCs w:val="32"/>
          <w:lang w:val="en-US" w:eastAsia="zh-CN"/>
        </w:rPr>
        <w:t>1</w:t>
      </w:r>
      <w:r>
        <w:rPr>
          <w:rFonts w:eastAsia="仿宋_GB2312" w:cs="仿宋_GB2312"/>
          <w:sz w:val="32"/>
          <w:szCs w:val="32"/>
          <w:lang w:eastAsia="zh-CN"/>
        </w:rPr>
        <w:t>7</w:t>
      </w:r>
      <w:r>
        <w:rPr>
          <w:rFonts w:eastAsia="仿宋_GB2312" w:cs="仿宋_GB2312" w:hint="eastAsia"/>
          <w:sz w:val="32"/>
          <w:szCs w:val="32"/>
        </w:rPr>
        <w:t xml:space="preserve">.社会保障和就业支出（类）退役军人管理事务（款）      </w:t>
      </w:r>
      <w:r>
        <w:rPr>
          <w:rFonts w:eastAsia="仿宋_GB2312" w:cs="仿宋_GB2312" w:hint="eastAsia"/>
          <w:sz w:val="32"/>
          <w:szCs w:val="32"/>
          <w:lang w:eastAsia="zh-CN"/>
        </w:rPr>
        <w:t>军供保障</w:t>
      </w:r>
      <w:r>
        <w:rPr>
          <w:rFonts w:eastAsia="仿宋_GB2312" w:cs="仿宋_GB2312" w:hint="eastAsia"/>
          <w:sz w:val="32"/>
          <w:szCs w:val="32"/>
        </w:rPr>
        <w:t>（项）:</w:t>
      </w:r>
      <w:r>
        <w:rPr>
          <w:rFonts w:eastAsia="仿宋_GB2312" w:cs="仿宋_GB2312" w:hint="eastAsia"/>
          <w:sz w:val="32"/>
          <w:szCs w:val="32"/>
          <w:lang w:val="en-US" w:eastAsia="zh-CN"/>
        </w:rPr>
        <w:t>支出决算为</w:t>
      </w:r>
      <w:r>
        <w:rPr>
          <w:rFonts w:eastAsia="仿宋_GB2312" w:cs="仿宋_GB2312"/>
          <w:sz w:val="32"/>
          <w:szCs w:val="32"/>
          <w:lang w:eastAsia="zh-CN"/>
        </w:rPr>
        <w:t>119.94</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rPr>
      </w:pPr>
      <w:r>
        <w:rPr>
          <w:rFonts w:eastAsia="仿宋_GB2312" w:cs="仿宋_GB2312" w:hint="eastAsia"/>
          <w:sz w:val="32"/>
          <w:szCs w:val="32"/>
          <w:lang w:val="en-US" w:eastAsia="zh-CN"/>
        </w:rPr>
        <w:t>1</w:t>
      </w:r>
      <w:r>
        <w:rPr>
          <w:rFonts w:eastAsia="仿宋_GB2312" w:cs="仿宋_GB2312"/>
          <w:sz w:val="32"/>
          <w:szCs w:val="32"/>
          <w:lang w:eastAsia="zh-CN"/>
        </w:rPr>
        <w:t>8</w:t>
      </w:r>
      <w:r>
        <w:rPr>
          <w:rFonts w:eastAsia="仿宋_GB2312" w:cs="仿宋_GB2312" w:hint="eastAsia"/>
          <w:sz w:val="32"/>
          <w:szCs w:val="32"/>
        </w:rPr>
        <w:t xml:space="preserve">.社会保障和就业支出（类）退役军人管理事务（款）      </w:t>
      </w:r>
      <w:r>
        <w:rPr>
          <w:rFonts w:eastAsia="仿宋_GB2312" w:cs="仿宋_GB2312" w:hint="eastAsia"/>
          <w:sz w:val="32"/>
          <w:szCs w:val="32"/>
          <w:lang w:eastAsia="zh-CN"/>
        </w:rPr>
        <w:t>事业运行</w:t>
      </w:r>
      <w:r>
        <w:rPr>
          <w:rFonts w:eastAsia="仿宋_GB2312" w:cs="仿宋_GB2312" w:hint="eastAsia"/>
          <w:sz w:val="32"/>
          <w:szCs w:val="32"/>
        </w:rPr>
        <w:t>（项）:</w:t>
      </w:r>
      <w:r>
        <w:rPr>
          <w:rFonts w:eastAsia="仿宋_GB2312" w:cs="仿宋_GB2312" w:hint="eastAsia"/>
          <w:sz w:val="32"/>
          <w:szCs w:val="32"/>
          <w:lang w:val="en-US" w:eastAsia="zh-CN"/>
        </w:rPr>
        <w:t>支出决算为</w:t>
      </w:r>
      <w:r>
        <w:rPr>
          <w:rFonts w:eastAsia="仿宋_GB2312" w:cs="仿宋_GB2312"/>
          <w:sz w:val="32"/>
          <w:szCs w:val="32"/>
          <w:lang w:eastAsia="zh-CN"/>
        </w:rPr>
        <w:t>231.77</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1</w:t>
      </w:r>
      <w:r>
        <w:rPr>
          <w:rFonts w:eastAsia="仿宋_GB2312" w:cs="仿宋_GB2312"/>
          <w:sz w:val="32"/>
          <w:szCs w:val="32"/>
          <w:lang w:eastAsia="zh-CN"/>
        </w:rPr>
        <w:t>9</w:t>
      </w:r>
      <w:r>
        <w:rPr>
          <w:rFonts w:eastAsia="仿宋_GB2312" w:cs="仿宋_GB2312" w:hint="eastAsia"/>
          <w:sz w:val="32"/>
          <w:szCs w:val="32"/>
        </w:rPr>
        <w:t>.社会保障和就业支出（类）退役军人管理事务（款）       其他退役军人事务管理支出（项）:</w:t>
      </w:r>
      <w:r>
        <w:rPr>
          <w:rFonts w:eastAsia="仿宋_GB2312" w:cs="仿宋_GB2312" w:hint="eastAsia"/>
          <w:sz w:val="32"/>
          <w:szCs w:val="32"/>
          <w:lang w:val="en-US" w:eastAsia="zh-CN"/>
        </w:rPr>
        <w:t>支出决算为</w:t>
      </w:r>
      <w:r>
        <w:rPr>
          <w:rFonts w:eastAsia="仿宋_GB2312" w:cs="仿宋_GB2312"/>
          <w:sz w:val="32"/>
          <w:szCs w:val="32"/>
          <w:lang w:eastAsia="zh-CN"/>
        </w:rPr>
        <w:t>181.68</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sz w:val="32"/>
          <w:szCs w:val="32"/>
        </w:rPr>
        <w:t>20</w:t>
      </w:r>
      <w:r>
        <w:rPr>
          <w:rFonts w:eastAsia="仿宋_GB2312" w:cs="仿宋_GB2312" w:hint="eastAsia"/>
          <w:sz w:val="32"/>
          <w:szCs w:val="32"/>
        </w:rPr>
        <w:t>.卫生健康支出（类）行政事业单位医疗（款）行政单位医疗（项）:</w:t>
      </w:r>
      <w:r>
        <w:rPr>
          <w:rFonts w:eastAsia="仿宋_GB2312" w:cs="仿宋_GB2312" w:hint="eastAsia"/>
          <w:sz w:val="32"/>
          <w:szCs w:val="32"/>
          <w:lang w:val="en-US" w:eastAsia="zh-CN"/>
        </w:rPr>
        <w:t>支出决算为</w:t>
      </w:r>
      <w:r>
        <w:rPr>
          <w:rFonts w:eastAsia="仿宋_GB2312" w:cs="仿宋_GB2312"/>
          <w:sz w:val="32"/>
          <w:szCs w:val="32"/>
          <w:lang w:eastAsia="zh-CN"/>
        </w:rPr>
        <w:t>17.28</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sz w:val="32"/>
          <w:szCs w:val="32"/>
          <w:lang w:eastAsia="zh-CN"/>
        </w:rPr>
        <w:t>21</w:t>
      </w:r>
      <w:r>
        <w:rPr>
          <w:rFonts w:eastAsia="仿宋_GB2312" w:cs="仿宋_GB2312" w:hint="eastAsia"/>
          <w:sz w:val="32"/>
          <w:szCs w:val="32"/>
        </w:rPr>
        <w:t>.卫生健康支出（类）行政事业单位医疗（款）事业单位医疗（项）:</w:t>
      </w:r>
      <w:r>
        <w:rPr>
          <w:rFonts w:eastAsia="仿宋_GB2312" w:cs="仿宋_GB2312" w:hint="eastAsia"/>
          <w:sz w:val="32"/>
          <w:szCs w:val="32"/>
          <w:lang w:val="en-US" w:eastAsia="zh-CN"/>
        </w:rPr>
        <w:t>支出决算为</w:t>
      </w:r>
      <w:r>
        <w:rPr>
          <w:rFonts w:eastAsia="仿宋_GB2312" w:cs="仿宋_GB2312"/>
          <w:sz w:val="32"/>
          <w:szCs w:val="32"/>
          <w:lang w:eastAsia="zh-CN"/>
        </w:rPr>
        <w:t>32.1</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2</w:t>
      </w:r>
      <w:r>
        <w:rPr>
          <w:rFonts w:eastAsia="仿宋_GB2312" w:cs="仿宋_GB2312"/>
          <w:sz w:val="32"/>
          <w:szCs w:val="32"/>
          <w:lang w:eastAsia="zh-CN"/>
        </w:rPr>
        <w:t>2</w:t>
      </w:r>
      <w:r>
        <w:rPr>
          <w:rFonts w:eastAsia="仿宋_GB2312" w:cs="仿宋_GB2312" w:hint="eastAsia"/>
          <w:sz w:val="32"/>
          <w:szCs w:val="32"/>
        </w:rPr>
        <w:t>.卫生健康支出（类）行政事业单位医疗（款）公务员医疗补助（项）:</w:t>
      </w:r>
      <w:r>
        <w:rPr>
          <w:rFonts w:eastAsia="仿宋_GB2312" w:cs="仿宋_GB2312" w:hint="eastAsia"/>
          <w:sz w:val="32"/>
          <w:szCs w:val="32"/>
          <w:lang w:val="en-US" w:eastAsia="zh-CN"/>
        </w:rPr>
        <w:t>支出决算为</w:t>
      </w:r>
      <w:r>
        <w:rPr>
          <w:rFonts w:eastAsia="仿宋_GB2312" w:cs="仿宋_GB2312"/>
          <w:sz w:val="32"/>
          <w:szCs w:val="32"/>
          <w:lang w:eastAsia="zh-CN"/>
        </w:rPr>
        <w:t>5.74</w:t>
      </w:r>
      <w:r>
        <w:rPr>
          <w:rFonts w:eastAsia="仿宋_GB2312" w:cs="仿宋_GB2312" w:hint="eastAsia"/>
          <w:sz w:val="32"/>
          <w:szCs w:val="32"/>
          <w:lang w:val="en-US" w:eastAsia="zh-CN"/>
        </w:rPr>
        <w:t>万元，完成预算100%，决算数与预算数持平。</w:t>
      </w:r>
    </w:p>
    <w:p>
      <w:pPr>
        <w:spacing w:line="600" w:lineRule="exact"/>
        <w:ind w:firstLine="640"/>
        <w:rPr>
          <w:rFonts w:eastAsia="仿宋_GB2312" w:cs="仿宋_GB2312" w:hint="eastAsia"/>
          <w:sz w:val="32"/>
          <w:szCs w:val="32"/>
          <w:lang w:val="en-US" w:eastAsia="zh-CN"/>
        </w:rPr>
      </w:pPr>
      <w:r>
        <w:rPr>
          <w:rFonts w:eastAsia="仿宋_GB2312" w:cs="仿宋_GB2312" w:hint="eastAsia"/>
          <w:sz w:val="32"/>
          <w:szCs w:val="32"/>
          <w:lang w:val="en-US" w:eastAsia="zh-CN"/>
        </w:rPr>
        <w:t>2</w:t>
      </w:r>
      <w:r>
        <w:rPr>
          <w:rFonts w:eastAsia="仿宋_GB2312" w:cs="仿宋_GB2312"/>
          <w:sz w:val="32"/>
          <w:szCs w:val="32"/>
          <w:lang w:eastAsia="zh-CN"/>
        </w:rPr>
        <w:t>3</w:t>
      </w:r>
      <w:r>
        <w:rPr>
          <w:rFonts w:eastAsia="仿宋_GB2312" w:cs="仿宋_GB2312" w:hint="eastAsia"/>
          <w:sz w:val="32"/>
          <w:szCs w:val="32"/>
        </w:rPr>
        <w:t>.卫生健康支出（类）行政事业单位医疗（款）其他行政事业单位医疗支出（项）:</w:t>
      </w:r>
      <w:r>
        <w:rPr>
          <w:rFonts w:eastAsia="仿宋_GB2312" w:cs="仿宋_GB2312" w:hint="eastAsia"/>
          <w:sz w:val="32"/>
          <w:szCs w:val="32"/>
          <w:lang w:val="en-US" w:eastAsia="zh-CN"/>
        </w:rPr>
        <w:t>支出决算为</w:t>
      </w:r>
      <w:r>
        <w:rPr>
          <w:rFonts w:eastAsia="仿宋_GB2312" w:cs="仿宋_GB2312"/>
          <w:sz w:val="32"/>
          <w:szCs w:val="32"/>
          <w:lang w:eastAsia="zh-CN"/>
        </w:rPr>
        <w:t>2.03</w:t>
      </w:r>
      <w:r>
        <w:rPr>
          <w:rFonts w:eastAsia="仿宋_GB2312" w:cs="仿宋_GB2312" w:hint="eastAsia"/>
          <w:sz w:val="32"/>
          <w:szCs w:val="32"/>
          <w:lang w:val="en-US" w:eastAsia="zh-CN"/>
        </w:rPr>
        <w:t>万元，完成预算100%，决算数与预算数持平。</w:t>
      </w:r>
    </w:p>
    <w:p>
      <w:pPr>
        <w:spacing w:line="600" w:lineRule="exact"/>
        <w:ind w:firstLineChars="150" w:firstLine="480"/>
        <w:rPr>
          <w:rFonts w:eastAsia="仿宋_GB2312" w:cs="仿宋_GB2312"/>
          <w:sz w:val="32"/>
          <w:szCs w:val="32"/>
        </w:rPr>
      </w:pPr>
      <w:r>
        <w:rPr>
          <w:rFonts w:eastAsia="仿宋_GB2312" w:cs="仿宋_GB2312" w:hint="eastAsia"/>
          <w:sz w:val="32"/>
          <w:szCs w:val="32"/>
          <w:lang w:val="en-US" w:eastAsia="zh-CN"/>
        </w:rPr>
        <w:t xml:space="preserve"> 2</w:t>
      </w:r>
      <w:r>
        <w:rPr>
          <w:rFonts w:eastAsia="仿宋_GB2312" w:cs="仿宋_GB2312"/>
          <w:sz w:val="32"/>
          <w:szCs w:val="32"/>
          <w:lang w:eastAsia="zh-CN"/>
        </w:rPr>
        <w:t>4</w:t>
      </w:r>
      <w:r>
        <w:rPr>
          <w:rFonts w:eastAsia="仿宋_GB2312" w:cs="仿宋_GB2312" w:hint="eastAsia"/>
          <w:sz w:val="32"/>
          <w:szCs w:val="32"/>
        </w:rPr>
        <w:t>.住房保障支出（类）住房改革支出（款）住房公积金（项）:</w:t>
      </w:r>
      <w:r>
        <w:rPr>
          <w:rFonts w:eastAsia="仿宋_GB2312" w:cs="仿宋_GB2312" w:hint="eastAsia"/>
          <w:sz w:val="32"/>
          <w:szCs w:val="32"/>
          <w:lang w:val="en-US" w:eastAsia="zh-CN"/>
        </w:rPr>
        <w:t>支出决算为</w:t>
      </w:r>
      <w:r>
        <w:rPr>
          <w:rFonts w:eastAsia="仿宋_GB2312" w:cs="仿宋_GB2312"/>
          <w:sz w:val="32"/>
          <w:szCs w:val="32"/>
          <w:lang w:eastAsia="zh-CN"/>
        </w:rPr>
        <w:t>74.27</w:t>
      </w:r>
      <w:r>
        <w:rPr>
          <w:rFonts w:eastAsia="仿宋_GB2312" w:cs="仿宋_GB2312" w:hint="eastAsia"/>
          <w:sz w:val="32"/>
          <w:szCs w:val="32"/>
          <w:lang w:val="en-US" w:eastAsia="zh-CN"/>
        </w:rPr>
        <w:t>万元，完成预算100%，决算数与预算数持平。</w:t>
      </w:r>
    </w:p>
    <w:p>
      <w:pPr>
        <w:pStyle w:val="2"/>
        <w:bidi w:val="0"/>
      </w:pPr>
      <w:bookmarkStart w:id="73" w:name="_Toc15377214"/>
      <w:bookmarkStart w:id="74" w:name="_Toc1263795325_WPSOffice_Level2"/>
      <w:bookmarkStart w:id="75" w:name="_Toc15396608"/>
      <w:r>
        <w:rPr>
          <w:rFonts w:hint="eastAsia"/>
        </w:rPr>
        <w:t>六、一般公共预算财政拨款基本支出决算情况说明</w:t>
      </w:r>
      <w:bookmarkEnd w:id="73"/>
      <w:bookmarkEnd w:id="74"/>
      <w:bookmarkEnd w:id="75"/>
      <w:r>
        <w:tab/>
      </w:r>
    </w:p>
    <w:p>
      <w:pPr>
        <w:spacing w:line="600" w:lineRule="exact"/>
        <w:ind w:firstLineChars="150" w:firstLine="480"/>
        <w:rPr>
          <w:rFonts w:eastAsia="仿宋_GB2312" w:cs="仿宋_GB2312"/>
          <w:sz w:val="32"/>
          <w:szCs w:val="32"/>
        </w:rPr>
      </w:pPr>
      <w:r>
        <w:rPr>
          <w:rFonts w:eastAsia="仿宋_GB2312" w:cs="仿宋_GB2312" w:hint="eastAsia"/>
          <w:sz w:val="32"/>
          <w:szCs w:val="32"/>
        </w:rPr>
        <w:t>2025年度一般公共预算财政拨款基本支出</w:t>
      </w:r>
      <w:r>
        <w:rPr>
          <w:rFonts w:eastAsia="仿宋_GB2312" w:cs="仿宋_GB2312"/>
          <w:sz w:val="32"/>
          <w:szCs w:val="32"/>
        </w:rPr>
        <w:t>1,158.86</w:t>
      </w:r>
      <w:r>
        <w:rPr>
          <w:rFonts w:eastAsia="仿宋_GB2312" w:cs="仿宋_GB2312" w:hint="eastAsia"/>
          <w:sz w:val="32"/>
          <w:szCs w:val="32"/>
        </w:rPr>
        <w:t>万元，其中：</w:t>
      </w:r>
    </w:p>
    <w:p>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eastAsia="仿宋_GB2312" w:cs="仿宋_GB2312"/>
          <w:sz w:val="32"/>
          <w:szCs w:val="32"/>
        </w:rPr>
        <w:t>1,067.51</w:t>
      </w:r>
      <w:r>
        <w:rPr>
          <w:rFonts w:eastAsia="仿宋_GB2312" w:cs="仿宋_GB2312" w:hint="eastAsia"/>
          <w:sz w:val="32"/>
          <w:szCs w:val="32"/>
        </w:rPr>
        <w:t>万元，主要包括：基本工资、津贴补贴、奖金、绩效工资、机关事业单位基本养老保险缴费、职业年金缴费、</w:t>
      </w:r>
      <w:r>
        <w:rPr>
          <w:rFonts w:eastAsia="仿宋_GB2312" w:cs="仿宋_GB2312" w:hint="eastAsia"/>
          <w:sz w:val="32"/>
          <w:szCs w:val="32"/>
          <w:lang w:eastAsia="zh-CN"/>
        </w:rPr>
        <w:t>职工基本医疗保险缴费、公务员医疗补助缴费、</w:t>
      </w:r>
      <w:r>
        <w:rPr>
          <w:rFonts w:eastAsia="仿宋_GB2312" w:cs="仿宋_GB2312" w:hint="eastAsia"/>
          <w:sz w:val="32"/>
          <w:szCs w:val="32"/>
        </w:rPr>
        <w:t>其他社会保障缴费、其他工资福利支出、抚恤金、生活补助、医疗费补助、奖励金、住房公积金等。</w:t>
        <w:br/>
        <w:t>　　公用经费</w:t>
      </w:r>
      <w:r>
        <w:rPr>
          <w:rFonts w:eastAsia="仿宋_GB2312" w:cs="仿宋_GB2312"/>
          <w:sz w:val="32"/>
          <w:szCs w:val="32"/>
        </w:rPr>
        <w:t>91.35</w:t>
      </w:r>
      <w:r>
        <w:rPr>
          <w:rFonts w:eastAsia="仿宋_GB2312" w:cs="仿宋_GB2312" w:hint="eastAsia"/>
          <w:sz w:val="32"/>
          <w:szCs w:val="32"/>
        </w:rPr>
        <w:t>万元，主要包括：办公费、印刷费、水费、电费、邮电费、物业管理费、差旅费、维修（护）费、租赁费、会议费、培训费、公务接待费、劳务费、委托业务费、工会经费、福利费、公务用车运行维护费、其他交通费、其他商品和服务支出等。</w:t>
      </w:r>
    </w:p>
    <w:p>
      <w:pPr>
        <w:pStyle w:val="2"/>
        <w:bidi w:val="0"/>
      </w:pPr>
      <w:bookmarkStart w:id="76" w:name="_Toc2084238223_WPSOffice_Level2"/>
      <w:bookmarkStart w:id="77" w:name="_Toc15396609"/>
      <w:bookmarkStart w:id="78" w:name="_Toc15377215"/>
      <w:r>
        <w:rPr>
          <w:rFonts w:hint="eastAsia"/>
        </w:rPr>
        <w:t>七、财政拨款“三公”经费支出决算情况说明</w:t>
      </w:r>
      <w:bookmarkEnd w:id="76"/>
      <w:bookmarkEnd w:id="77"/>
      <w:bookmarkEnd w:id="78"/>
    </w:p>
    <w:p>
      <w:pPr>
        <w:spacing w:line="600" w:lineRule="exact"/>
        <w:outlineLvl w:val="2"/>
        <w:rPr>
          <w:rFonts w:eastAsia="楷体_GB2312" w:cs="楷体_GB2312"/>
          <w:b/>
          <w:sz w:val="32"/>
          <w:szCs w:val="32"/>
        </w:rPr>
      </w:pPr>
      <w:bookmarkStart w:id="79" w:name="_Toc15377216"/>
      <w:r>
        <w:rPr>
          <w:rFonts w:eastAsia="楷体_GB2312" w:cs="楷体_GB2312" w:hint="eastAsia"/>
          <w:b/>
          <w:sz w:val="32"/>
          <w:szCs w:val="32"/>
        </w:rPr>
        <w:t>（一）财政拨款“三公”经费支出决算总体情况说明</w:t>
      </w:r>
      <w:bookmarkEnd w:id="79"/>
    </w:p>
    <w:p>
      <w:pPr>
        <w:spacing w:line="600" w:lineRule="exact"/>
        <w:ind w:firstLine="640"/>
        <w:rPr>
          <w:rFonts w:eastAsia="仿宋_GB2312" w:cs="仿宋_GB2312"/>
          <w:b/>
          <w:bCs/>
          <w:sz w:val="32"/>
          <w:szCs w:val="32"/>
        </w:rPr>
      </w:pPr>
      <w:r>
        <w:rPr>
          <w:rFonts w:eastAsia="仿宋_GB2312" w:cs="仿宋_GB2312" w:hint="eastAsia"/>
          <w:sz w:val="32"/>
          <w:szCs w:val="32"/>
        </w:rPr>
        <w:t>2025年度财政拨款“三公”经费支出决算为</w:t>
      </w:r>
      <w:r>
        <w:rPr>
          <w:rFonts w:eastAsia="仿宋_GB2312" w:cs="仿宋_GB2312" w:hint="eastAsia"/>
          <w:sz w:val="32"/>
          <w:szCs w:val="32"/>
          <w:lang w:val="en-US" w:eastAsia="zh-CN"/>
        </w:rPr>
        <w:t>6.74</w:t>
      </w:r>
      <w:r>
        <w:rPr>
          <w:rFonts w:eastAsia="仿宋_GB2312" w:cs="仿宋_GB2312" w:hint="eastAsia"/>
          <w:sz w:val="32"/>
          <w:szCs w:val="32"/>
        </w:rPr>
        <w:t>万元，完成预算</w:t>
      </w:r>
      <w:r>
        <w:rPr>
          <w:rFonts w:eastAsia="仿宋_GB2312" w:cs="仿宋_GB2312" w:hint="eastAsia"/>
          <w:sz w:val="32"/>
          <w:szCs w:val="32"/>
          <w:lang w:val="en-US" w:eastAsia="zh-CN"/>
        </w:rPr>
        <w:t>100</w:t>
      </w:r>
      <w:r>
        <w:rPr>
          <w:rFonts w:eastAsia="仿宋_GB2312" w:cs="仿宋_GB2312" w:hint="eastAsia"/>
          <w:sz w:val="32"/>
          <w:szCs w:val="32"/>
        </w:rPr>
        <w:t>%，较上年度减少</w:t>
      </w:r>
      <w:r>
        <w:rPr>
          <w:rFonts w:eastAsia="仿宋_GB2312" w:cs="仿宋_GB2312" w:hint="eastAsia"/>
          <w:sz w:val="32"/>
          <w:szCs w:val="32"/>
          <w:lang w:val="en-US" w:eastAsia="zh-CN"/>
        </w:rPr>
        <w:t>1.35</w:t>
      </w:r>
      <w:r>
        <w:rPr>
          <w:rFonts w:eastAsia="仿宋_GB2312" w:cs="仿宋_GB2312" w:hint="eastAsia"/>
          <w:sz w:val="32"/>
          <w:szCs w:val="32"/>
        </w:rPr>
        <w:t>万元，下降</w:t>
      </w:r>
      <w:r>
        <w:rPr>
          <w:rFonts w:eastAsia="仿宋_GB2312" w:cs="仿宋_GB2312" w:hint="eastAsia"/>
          <w:sz w:val="32"/>
          <w:szCs w:val="32"/>
          <w:lang w:val="en-US" w:eastAsia="zh-CN"/>
        </w:rPr>
        <w:t>16.</w:t>
      </w:r>
      <w:r>
        <w:rPr>
          <w:rFonts w:eastAsia="仿宋_GB2312" w:cs="仿宋_GB2312"/>
          <w:sz w:val="32"/>
          <w:szCs w:val="32"/>
          <w:lang w:eastAsia="zh-CN"/>
        </w:rPr>
        <w:t>7</w:t>
      </w:r>
      <w:r>
        <w:rPr>
          <w:rFonts w:eastAsia="仿宋_GB2312" w:cs="仿宋_GB2312" w:hint="eastAsia"/>
          <w:sz w:val="32"/>
          <w:szCs w:val="32"/>
        </w:rPr>
        <w:t>%。决算数小于预算数预算数持平</w:t>
      </w:r>
      <w:r>
        <w:rPr>
          <w:rFonts w:eastAsia="仿宋_GB2312" w:cs="仿宋_GB2312" w:hint="eastAsia"/>
          <w:sz w:val="32"/>
          <w:szCs w:val="32"/>
          <w:lang w:eastAsia="zh-CN"/>
        </w:rPr>
        <w:t>。</w:t>
      </w:r>
    </w:p>
    <w:p>
      <w:pPr>
        <w:spacing w:line="600" w:lineRule="exact"/>
        <w:outlineLvl w:val="2"/>
        <w:rPr>
          <w:rFonts w:eastAsia="楷体_GB2312" w:cs="楷体_GB2312"/>
          <w:b/>
          <w:sz w:val="32"/>
          <w:szCs w:val="32"/>
        </w:rPr>
      </w:pPr>
      <w:bookmarkStart w:id="80" w:name="_Toc15377217"/>
      <w:r>
        <w:rPr>
          <w:rFonts w:eastAsia="楷体_GB2312" w:cs="楷体_GB2312" w:hint="eastAsia"/>
          <w:b/>
          <w:sz w:val="32"/>
          <w:szCs w:val="32"/>
        </w:rPr>
        <w:t>（二）财政拨款“三公”经费支出决算具体情况说明</w:t>
      </w:r>
      <w:bookmarkEnd w:id="80"/>
    </w:p>
    <w:p>
      <w:pPr>
        <w:spacing w:line="600" w:lineRule="exact"/>
        <w:ind w:firstLine="640"/>
        <w:rPr>
          <w:rFonts w:eastAsia="仿宋_GB2312" w:cs="仿宋_GB2312" w:hint="eastAsia"/>
          <w:sz w:val="32"/>
          <w:szCs w:val="32"/>
        </w:rPr>
      </w:pPr>
      <w:r>
        <w:rPr>
          <w:rFonts w:eastAsia="仿宋_GB2312" w:cs="仿宋_GB2312" w:hint="eastAsia"/>
          <w:sz w:val="32"/>
          <w:szCs w:val="32"/>
        </w:rPr>
        <w:t>2025年度财政拨款“三公”经费支出决算中，因公出国（境）费支出决算</w:t>
      </w:r>
      <w:r>
        <w:rPr>
          <w:rFonts w:eastAsia="仿宋_GB2312" w:cs="仿宋_GB2312" w:hint="eastAsia"/>
          <w:sz w:val="32"/>
          <w:szCs w:val="32"/>
          <w:lang w:val="en-US" w:eastAsia="zh-CN"/>
        </w:rPr>
        <w:t>0</w:t>
      </w:r>
      <w:r>
        <w:rPr>
          <w:rFonts w:eastAsia="仿宋_GB2312" w:cs="仿宋_GB2312" w:hint="eastAsia"/>
          <w:sz w:val="32"/>
          <w:szCs w:val="32"/>
        </w:rPr>
        <w:t>万元，占</w:t>
      </w:r>
      <w:r>
        <w:rPr>
          <w:rFonts w:eastAsia="仿宋_GB2312" w:cs="仿宋_GB2312" w:hint="eastAsia"/>
          <w:sz w:val="32"/>
          <w:szCs w:val="32"/>
          <w:lang w:val="en-US" w:eastAsia="zh-CN"/>
        </w:rPr>
        <w:t>0</w:t>
      </w:r>
      <w:r>
        <w:rPr>
          <w:rFonts w:eastAsia="仿宋_GB2312" w:cs="仿宋_GB2312" w:hint="eastAsia"/>
          <w:sz w:val="32"/>
          <w:szCs w:val="32"/>
        </w:rPr>
        <w:t>%；公务用车购置及运行维护费支出决算</w:t>
      </w:r>
      <w:r>
        <w:rPr>
          <w:rFonts w:eastAsia="仿宋_GB2312" w:cs="仿宋_GB2312" w:hint="eastAsia"/>
          <w:sz w:val="32"/>
          <w:szCs w:val="32"/>
          <w:lang w:val="en-US" w:eastAsia="zh-CN"/>
        </w:rPr>
        <w:t>6.02</w:t>
      </w:r>
      <w:r>
        <w:rPr>
          <w:rFonts w:eastAsia="仿宋_GB2312" w:cs="仿宋_GB2312" w:hint="eastAsia"/>
          <w:sz w:val="32"/>
          <w:szCs w:val="32"/>
        </w:rPr>
        <w:t>万元，占</w:t>
      </w:r>
      <w:r>
        <w:rPr>
          <w:rFonts w:eastAsia="仿宋_GB2312" w:cs="仿宋_GB2312" w:hint="eastAsia"/>
          <w:sz w:val="32"/>
          <w:szCs w:val="32"/>
          <w:lang w:val="en-US" w:eastAsia="zh-CN"/>
        </w:rPr>
        <w:t>89.3</w:t>
      </w:r>
      <w:r>
        <w:rPr>
          <w:rFonts w:eastAsia="仿宋_GB2312" w:cs="仿宋_GB2312" w:hint="eastAsia"/>
          <w:sz w:val="32"/>
          <w:szCs w:val="32"/>
        </w:rPr>
        <w:t>%；公务接待费支出决算</w:t>
      </w:r>
      <w:r>
        <w:rPr>
          <w:rFonts w:eastAsia="仿宋_GB2312" w:cs="仿宋_GB2312" w:hint="eastAsia"/>
          <w:sz w:val="32"/>
          <w:szCs w:val="32"/>
          <w:lang w:val="en-US" w:eastAsia="zh-CN"/>
        </w:rPr>
        <w:t>0.72</w:t>
      </w:r>
      <w:r>
        <w:rPr>
          <w:rFonts w:eastAsia="仿宋_GB2312" w:cs="仿宋_GB2312" w:hint="eastAsia"/>
          <w:sz w:val="32"/>
          <w:szCs w:val="32"/>
        </w:rPr>
        <w:t>万元，占</w:t>
      </w:r>
      <w:r>
        <w:rPr>
          <w:rFonts w:eastAsia="仿宋_GB2312" w:cs="仿宋_GB2312" w:hint="eastAsia"/>
          <w:sz w:val="32"/>
          <w:szCs w:val="32"/>
          <w:lang w:val="en-US" w:eastAsia="zh-CN"/>
        </w:rPr>
        <w:t>10.</w:t>
      </w:r>
      <w:r>
        <w:rPr>
          <w:rFonts w:eastAsia="仿宋_GB2312" w:cs="仿宋_GB2312"/>
          <w:sz w:val="32"/>
          <w:szCs w:val="32"/>
          <w:lang w:eastAsia="zh-CN"/>
        </w:rPr>
        <w:t>7</w:t>
      </w:r>
      <w:r>
        <w:rPr>
          <w:rFonts w:eastAsia="仿宋_GB2312" w:cs="仿宋_GB2312" w:hint="eastAsia"/>
          <w:sz w:val="32"/>
          <w:szCs w:val="32"/>
        </w:rPr>
        <w:t>%。具体情况如下：</w:t>
      </w:r>
    </w:p>
    <w:p>
      <w:pPr>
        <w:pStyle w:val="17"/>
        <w:rPr>
          <w:rFonts w:eastAsia="仿宋_GB2312" w:cs="仿宋_GB2312" w:hint="eastAsia"/>
          <w:sz w:val="32"/>
          <w:szCs w:val="32"/>
        </w:rPr>
      </w:pPr>
      <w:r>
        <w:drawing>
          <wp:inline distT="0" distB="0" distL="114300" distR="114300">
            <wp:extent cx="5269230" cy="3562350"/>
            <wp:effectExtent l="0" t="0" r="15" b="41"/>
            <wp:docPr id="22" name="图片 10"/>
            <wp:cNvGraphicFramePr>
              <a:graphicFrameLocks noChangeAspect="0"/>
            </wp:cNvGraphicFramePr>
            <a:graphic>
              <a:graphicData uri="http://schemas.openxmlformats.org/drawingml/2006/picture">
                <pic:pic>
                  <pic:nvPicPr>
                    <pic:cNvPr id="24" name="图片 10 24"/>
                    <pic:cNvPicPr/>
                  </pic:nvPicPr>
                  <pic:blipFill>
                    <a:blip r:embed="rId14"/>
                    <a:stretch>
                      <a:fillRect/>
                    </a:stretch>
                  </pic:blipFill>
                  <pic:spPr>
                    <a:xfrm rot="0">
                      <a:off x="0" y="0"/>
                      <a:ext cx="5269230" cy="3562350"/>
                    </a:xfrm>
                    <a:prstGeom prst="rect"/>
                    <a:noFill/>
                    <a:ln w="9525" cmpd="sng" cap="flat">
                      <a:noFill/>
                      <a:prstDash val="solid"/>
                      <a:round/>
                    </a:ln>
                  </pic:spPr>
                </pic:pic>
              </a:graphicData>
            </a:graphic>
          </wp:inline>
        </w:drawing>
      </w:r>
    </w:p>
    <w:p>
      <w:pPr>
        <w:spacing w:line="600" w:lineRule="exact"/>
        <w:ind w:firstLine="640"/>
        <w:rPr>
          <w:rFonts w:eastAsia="仿宋_GB2312" w:cs="仿宋_GB2312"/>
          <w:sz w:val="32"/>
          <w:szCs w:val="32"/>
        </w:rPr>
      </w:pPr>
      <w:r>
        <w:rPr>
          <w:rFonts w:eastAsia="仿宋_GB2312" w:cs="仿宋_GB2312" w:hint="eastAsia"/>
          <w:sz w:val="32"/>
          <w:szCs w:val="32"/>
        </w:rPr>
        <w:t>（图7：财政拨款“三公”经费支出结构）（饼状图）</w:t>
      </w:r>
    </w:p>
    <w:p>
      <w:pPr>
        <w:spacing w:line="600" w:lineRule="exact"/>
        <w:ind w:firstLine="640"/>
        <w:rPr>
          <w:rFonts w:eastAsia="仿宋_GB2312" w:cs="仿宋_GB2312" w:hint="eastAsia"/>
          <w:sz w:val="32"/>
          <w:szCs w:val="32"/>
          <w:lang w:eastAsia="zh-CN"/>
        </w:rPr>
      </w:pPr>
      <w:r>
        <w:rPr>
          <w:rFonts w:eastAsia="仿宋_GB2312" w:cs="仿宋_GB2312" w:hint="eastAsia"/>
          <w:b/>
          <w:bCs/>
          <w:sz w:val="32"/>
          <w:szCs w:val="32"/>
        </w:rPr>
        <w:t>1.因公出国（境）经费支出</w:t>
      </w:r>
      <w:r>
        <w:rPr>
          <w:rFonts w:eastAsia="仿宋_GB2312" w:cs="仿宋_GB2312" w:hint="eastAsia"/>
          <w:b/>
          <w:bCs/>
          <w:sz w:val="32"/>
          <w:szCs w:val="32"/>
          <w:lang w:val="en-US" w:eastAsia="zh-CN"/>
        </w:rPr>
        <w:t>0</w:t>
      </w:r>
      <w:r>
        <w:rPr>
          <w:rFonts w:eastAsia="仿宋_GB2312" w:cs="仿宋_GB2312" w:hint="eastAsia"/>
          <w:b/>
          <w:bCs/>
          <w:sz w:val="32"/>
          <w:szCs w:val="32"/>
        </w:rPr>
        <w:t>万元，完成预算</w:t>
      </w:r>
      <w:r>
        <w:rPr>
          <w:rFonts w:eastAsia="仿宋_GB2312" w:cs="仿宋_GB2312" w:hint="eastAsia"/>
          <w:b/>
          <w:bCs/>
          <w:sz w:val="32"/>
          <w:szCs w:val="32"/>
          <w:lang w:val="en-US" w:eastAsia="zh-CN"/>
        </w:rPr>
        <w:t>0</w:t>
      </w:r>
      <w:r>
        <w:rPr>
          <w:rFonts w:eastAsia="仿宋_GB2312" w:cs="仿宋_GB2312" w:hint="eastAsia"/>
          <w:b/>
          <w:bCs/>
          <w:sz w:val="32"/>
          <w:szCs w:val="32"/>
        </w:rPr>
        <w:t>%。</w:t>
      </w:r>
      <w:r>
        <w:rPr>
          <w:rFonts w:eastAsia="仿宋_GB2312" w:cs="仿宋_GB2312" w:hint="eastAsia"/>
          <w:sz w:val="32"/>
          <w:szCs w:val="32"/>
        </w:rPr>
        <w:t>全年安排因公出国（境）团组</w:t>
      </w:r>
      <w:r>
        <w:rPr>
          <w:rFonts w:eastAsia="仿宋_GB2312" w:cs="仿宋_GB2312" w:hint="eastAsia"/>
          <w:sz w:val="32"/>
          <w:szCs w:val="32"/>
          <w:lang w:val="en-US" w:eastAsia="zh-CN"/>
        </w:rPr>
        <w:t>0</w:t>
      </w:r>
      <w:r>
        <w:rPr>
          <w:rFonts w:eastAsia="仿宋_GB2312" w:cs="仿宋_GB2312" w:hint="eastAsia"/>
          <w:sz w:val="32"/>
          <w:szCs w:val="32"/>
        </w:rPr>
        <w:t>次，出国（境）</w:t>
      </w:r>
      <w:r>
        <w:rPr>
          <w:rFonts w:eastAsia="仿宋_GB2312" w:cs="仿宋_GB2312" w:hint="eastAsia"/>
          <w:sz w:val="32"/>
          <w:szCs w:val="32"/>
          <w:lang w:val="en-US" w:eastAsia="zh-CN"/>
        </w:rPr>
        <w:t>0</w:t>
      </w:r>
      <w:r>
        <w:rPr>
          <w:rFonts w:eastAsia="仿宋_GB2312" w:cs="仿宋_GB2312" w:hint="eastAsia"/>
          <w:sz w:val="32"/>
          <w:szCs w:val="32"/>
        </w:rPr>
        <w:t>人。因公出国（境）支出决算</w:t>
      </w:r>
      <w:r>
        <w:rPr>
          <w:rFonts w:eastAsia="仿宋_GB2312" w:cs="仿宋_GB2312" w:hint="eastAsia"/>
          <w:sz w:val="32"/>
          <w:szCs w:val="32"/>
          <w:lang w:eastAsia="zh-CN"/>
        </w:rPr>
        <w:t>与</w:t>
      </w:r>
      <w:r>
        <w:rPr>
          <w:rFonts w:eastAsia="仿宋_GB2312" w:cs="仿宋_GB2312" w:hint="eastAsia"/>
          <w:sz w:val="32"/>
          <w:szCs w:val="32"/>
        </w:rPr>
        <w:t>上年度</w:t>
      </w:r>
      <w:r>
        <w:rPr>
          <w:rFonts w:eastAsia="仿宋_GB2312" w:cs="仿宋_GB2312" w:hint="eastAsia"/>
          <w:sz w:val="32"/>
          <w:szCs w:val="32"/>
          <w:lang w:eastAsia="zh-CN"/>
        </w:rPr>
        <w:t>持平。</w:t>
      </w:r>
    </w:p>
    <w:p>
      <w:pPr>
        <w:spacing w:line="600" w:lineRule="exact"/>
        <w:ind w:firstLine="640"/>
        <w:rPr>
          <w:rFonts w:eastAsia="仿宋_GB2312" w:cs="仿宋_GB2312"/>
          <w:sz w:val="32"/>
          <w:szCs w:val="32"/>
        </w:rPr>
      </w:pPr>
      <w:r>
        <w:rPr>
          <w:rFonts w:eastAsia="仿宋_GB2312" w:cs="仿宋_GB2312" w:hint="eastAsia"/>
          <w:b/>
          <w:bCs/>
          <w:sz w:val="32"/>
          <w:szCs w:val="32"/>
        </w:rPr>
        <w:t>2.公务用车购置及运行维护费支出</w:t>
      </w:r>
      <w:r>
        <w:rPr>
          <w:rFonts w:eastAsia="仿宋_GB2312" w:cs="仿宋_GB2312" w:hint="eastAsia"/>
          <w:b/>
          <w:bCs/>
          <w:sz w:val="32"/>
          <w:szCs w:val="32"/>
          <w:lang w:val="en-US" w:eastAsia="zh-CN"/>
        </w:rPr>
        <w:t>6.02</w:t>
      </w:r>
      <w:r>
        <w:rPr>
          <w:rFonts w:eastAsia="仿宋_GB2312" w:cs="仿宋_GB2312" w:hint="eastAsia"/>
          <w:b/>
          <w:bCs/>
          <w:sz w:val="32"/>
          <w:szCs w:val="32"/>
        </w:rPr>
        <w:t>万元，完成预算</w:t>
      </w:r>
      <w:r>
        <w:rPr>
          <w:rFonts w:eastAsia="仿宋_GB2312" w:cs="仿宋_GB2312" w:hint="eastAsia"/>
          <w:b/>
          <w:bCs/>
          <w:sz w:val="32"/>
          <w:szCs w:val="32"/>
          <w:lang w:val="en-US" w:eastAsia="zh-CN"/>
        </w:rPr>
        <w:t>100</w:t>
      </w:r>
      <w:r>
        <w:rPr>
          <w:rFonts w:eastAsia="仿宋_GB2312" w:cs="仿宋_GB2312" w:hint="eastAsia"/>
          <w:b/>
          <w:bCs/>
          <w:sz w:val="32"/>
          <w:szCs w:val="32"/>
        </w:rPr>
        <w:t>%。</w:t>
      </w:r>
      <w:r>
        <w:rPr>
          <w:rFonts w:eastAsia="仿宋_GB2312" w:cs="仿宋_GB2312" w:hint="eastAsia"/>
          <w:sz w:val="32"/>
          <w:szCs w:val="32"/>
        </w:rPr>
        <w:t>公务用车购置及运行维护费支出决算比上年度减少</w:t>
      </w:r>
      <w:r>
        <w:rPr>
          <w:rFonts w:eastAsia="仿宋_GB2312" w:cs="仿宋_GB2312" w:hint="eastAsia"/>
          <w:sz w:val="32"/>
          <w:szCs w:val="32"/>
          <w:lang w:val="en-US" w:eastAsia="zh-CN"/>
        </w:rPr>
        <w:t>1.22</w:t>
      </w:r>
      <w:r>
        <w:rPr>
          <w:rFonts w:eastAsia="仿宋_GB2312" w:cs="仿宋_GB2312" w:hint="eastAsia"/>
          <w:sz w:val="32"/>
          <w:szCs w:val="32"/>
        </w:rPr>
        <w:t>万元，下降</w:t>
      </w:r>
      <w:r>
        <w:rPr>
          <w:rFonts w:eastAsia="仿宋_GB2312" w:cs="仿宋_GB2312" w:hint="eastAsia"/>
          <w:sz w:val="32"/>
          <w:szCs w:val="32"/>
          <w:lang w:val="en-US" w:eastAsia="zh-CN"/>
        </w:rPr>
        <w:t>16.</w:t>
      </w:r>
      <w:r>
        <w:rPr>
          <w:rFonts w:eastAsia="仿宋_GB2312" w:cs="仿宋_GB2312"/>
          <w:sz w:val="32"/>
          <w:szCs w:val="32"/>
          <w:lang w:eastAsia="zh-CN"/>
        </w:rPr>
        <w:t>9</w:t>
      </w:r>
      <w:r>
        <w:rPr>
          <w:rFonts w:eastAsia="仿宋_GB2312" w:cs="仿宋_GB2312" w:hint="eastAsia"/>
          <w:sz w:val="32"/>
          <w:szCs w:val="32"/>
        </w:rPr>
        <w:t>%。主要原因是</w:t>
      </w:r>
      <w:r>
        <w:rPr>
          <w:rFonts w:ascii="仿宋_GB2312" w:eastAsia="仿宋_GB2312" w:hint="eastAsia"/>
          <w:color w:val="auto"/>
          <w:sz w:val="32"/>
          <w:szCs w:val="32"/>
          <w:lang w:eastAsia="zh-CN"/>
          <w:highlight w:val="auto"/>
        </w:rPr>
        <w:t>公务用车燃油费及维修费减少。</w:t>
      </w:r>
      <w:r>
        <w:rPr>
          <w:rFonts w:eastAsia="仿宋_GB2312" w:cs="仿宋_GB2312" w:hint="eastAsia"/>
          <w:sz w:val="32"/>
          <w:szCs w:val="32"/>
        </w:rPr>
        <w:t>其中：公务用车购置支出</w:t>
      </w:r>
      <w:r>
        <w:rPr>
          <w:rFonts w:eastAsia="仿宋_GB2312" w:cs="仿宋_GB2312" w:hint="eastAsia"/>
          <w:sz w:val="32"/>
          <w:szCs w:val="32"/>
          <w:lang w:val="en-US" w:eastAsia="zh-CN"/>
        </w:rPr>
        <w:t>0</w:t>
      </w:r>
      <w:r>
        <w:rPr>
          <w:rFonts w:eastAsia="仿宋_GB2312" w:cs="仿宋_GB2312" w:hint="eastAsia"/>
          <w:sz w:val="32"/>
          <w:szCs w:val="32"/>
        </w:rPr>
        <w:t>万元。全年按规定更新购置公务用车</w:t>
      </w:r>
      <w:r>
        <w:rPr>
          <w:rFonts w:eastAsia="仿宋_GB2312" w:cs="仿宋_GB2312" w:hint="eastAsia"/>
          <w:sz w:val="32"/>
          <w:szCs w:val="32"/>
          <w:lang w:val="en-US" w:eastAsia="zh-CN"/>
        </w:rPr>
        <w:t>0</w:t>
      </w:r>
      <w:r>
        <w:rPr>
          <w:rFonts w:eastAsia="仿宋_GB2312" w:cs="仿宋_GB2312" w:hint="eastAsia"/>
          <w:sz w:val="32"/>
          <w:szCs w:val="32"/>
        </w:rPr>
        <w:t>辆，其中：轿车</w:t>
      </w:r>
      <w:r>
        <w:rPr>
          <w:rFonts w:eastAsia="仿宋_GB2312" w:cs="仿宋_GB2312" w:hint="eastAsia"/>
          <w:sz w:val="32"/>
          <w:szCs w:val="32"/>
          <w:lang w:val="en-US" w:eastAsia="zh-CN"/>
        </w:rPr>
        <w:t>0</w:t>
      </w:r>
      <w:r>
        <w:rPr>
          <w:rFonts w:eastAsia="仿宋_GB2312" w:cs="仿宋_GB2312" w:hint="eastAsia"/>
          <w:sz w:val="32"/>
          <w:szCs w:val="32"/>
        </w:rPr>
        <w:t>辆、金额</w:t>
      </w:r>
      <w:r>
        <w:rPr>
          <w:rFonts w:eastAsia="仿宋_GB2312" w:cs="仿宋_GB2312" w:hint="eastAsia"/>
          <w:sz w:val="32"/>
          <w:szCs w:val="32"/>
          <w:lang w:val="en-US" w:eastAsia="zh-CN"/>
        </w:rPr>
        <w:t>0</w:t>
      </w:r>
      <w:r>
        <w:rPr>
          <w:rFonts w:eastAsia="仿宋_GB2312" w:cs="仿宋_GB2312" w:hint="eastAsia"/>
          <w:sz w:val="32"/>
          <w:szCs w:val="32"/>
        </w:rPr>
        <w:t>万元，越野车</w:t>
      </w:r>
      <w:r>
        <w:rPr>
          <w:rFonts w:eastAsia="仿宋_GB2312" w:cs="仿宋_GB2312" w:hint="eastAsia"/>
          <w:sz w:val="32"/>
          <w:szCs w:val="32"/>
          <w:lang w:val="en-US" w:eastAsia="zh-CN"/>
        </w:rPr>
        <w:t>0</w:t>
      </w:r>
      <w:r>
        <w:rPr>
          <w:rFonts w:eastAsia="仿宋_GB2312" w:cs="仿宋_GB2312" w:hint="eastAsia"/>
          <w:sz w:val="32"/>
          <w:szCs w:val="32"/>
        </w:rPr>
        <w:t>辆、金额</w:t>
      </w:r>
      <w:r>
        <w:rPr>
          <w:rFonts w:eastAsia="仿宋_GB2312" w:cs="仿宋_GB2312" w:hint="eastAsia"/>
          <w:sz w:val="32"/>
          <w:szCs w:val="32"/>
          <w:lang w:val="en-US" w:eastAsia="zh-CN"/>
        </w:rPr>
        <w:t>0</w:t>
      </w:r>
      <w:r>
        <w:rPr>
          <w:rFonts w:eastAsia="仿宋_GB2312" w:cs="仿宋_GB2312" w:hint="eastAsia"/>
          <w:sz w:val="32"/>
          <w:szCs w:val="32"/>
        </w:rPr>
        <w:t>万元，载客汽车</w:t>
      </w:r>
      <w:r>
        <w:rPr>
          <w:rFonts w:eastAsia="仿宋_GB2312" w:cs="仿宋_GB2312" w:hint="eastAsia"/>
          <w:sz w:val="32"/>
          <w:szCs w:val="32"/>
          <w:lang w:val="en-US" w:eastAsia="zh-CN"/>
        </w:rPr>
        <w:t>0</w:t>
      </w:r>
      <w:r>
        <w:rPr>
          <w:rFonts w:eastAsia="仿宋_GB2312" w:cs="仿宋_GB2312" w:hint="eastAsia"/>
          <w:sz w:val="32"/>
          <w:szCs w:val="32"/>
        </w:rPr>
        <w:t>辆、金额</w:t>
      </w:r>
      <w:r>
        <w:rPr>
          <w:rFonts w:eastAsia="仿宋_GB2312" w:cs="仿宋_GB2312" w:hint="eastAsia"/>
          <w:sz w:val="32"/>
          <w:szCs w:val="32"/>
          <w:lang w:val="en-US" w:eastAsia="zh-CN"/>
        </w:rPr>
        <w:t>0</w:t>
      </w:r>
      <w:r>
        <w:rPr>
          <w:rFonts w:eastAsia="仿宋_GB2312" w:cs="仿宋_GB2312" w:hint="eastAsia"/>
          <w:sz w:val="32"/>
          <w:szCs w:val="32"/>
        </w:rPr>
        <w:t>万元。截至2025年12月31日，单位共有公务用车</w:t>
      </w:r>
      <w:r>
        <w:rPr>
          <w:rFonts w:eastAsia="仿宋_GB2312" w:cs="仿宋_GB2312" w:hint="eastAsia"/>
          <w:sz w:val="32"/>
          <w:szCs w:val="32"/>
          <w:lang w:val="en-US" w:eastAsia="zh-CN"/>
        </w:rPr>
        <w:t>4</w:t>
      </w:r>
      <w:r>
        <w:rPr>
          <w:rFonts w:eastAsia="仿宋_GB2312" w:cs="仿宋_GB2312" w:hint="eastAsia"/>
          <w:sz w:val="32"/>
          <w:szCs w:val="32"/>
        </w:rPr>
        <w:t>辆，其中：轿车</w:t>
      </w:r>
      <w:r>
        <w:rPr>
          <w:rFonts w:eastAsia="仿宋_GB2312" w:cs="仿宋_GB2312" w:hint="eastAsia"/>
          <w:sz w:val="32"/>
          <w:szCs w:val="32"/>
          <w:lang w:val="en-US" w:eastAsia="zh-CN"/>
        </w:rPr>
        <w:t>2</w:t>
      </w:r>
      <w:r>
        <w:rPr>
          <w:rFonts w:eastAsia="仿宋_GB2312" w:cs="仿宋_GB2312" w:hint="eastAsia"/>
          <w:sz w:val="32"/>
          <w:szCs w:val="32"/>
        </w:rPr>
        <w:t>辆、越野车</w:t>
      </w:r>
      <w:r>
        <w:rPr>
          <w:rFonts w:eastAsia="仿宋_GB2312" w:cs="仿宋_GB2312" w:hint="eastAsia"/>
          <w:sz w:val="32"/>
          <w:szCs w:val="32"/>
          <w:lang w:val="en-US" w:eastAsia="zh-CN"/>
        </w:rPr>
        <w:t>2</w:t>
      </w:r>
      <w:r>
        <w:rPr>
          <w:rFonts w:eastAsia="仿宋_GB2312" w:cs="仿宋_GB2312" w:hint="eastAsia"/>
          <w:sz w:val="32"/>
          <w:szCs w:val="32"/>
        </w:rPr>
        <w:t>辆、载客汽车</w:t>
      </w:r>
      <w:r>
        <w:rPr>
          <w:rFonts w:eastAsia="仿宋_GB2312" w:cs="仿宋_GB2312" w:hint="eastAsia"/>
          <w:sz w:val="32"/>
          <w:szCs w:val="32"/>
          <w:lang w:val="en-US" w:eastAsia="zh-CN"/>
        </w:rPr>
        <w:t>0</w:t>
      </w:r>
      <w:r>
        <w:rPr>
          <w:rFonts w:eastAsia="仿宋_GB2312" w:cs="仿宋_GB2312" w:hint="eastAsia"/>
          <w:sz w:val="32"/>
          <w:szCs w:val="32"/>
        </w:rPr>
        <w:t>辆。</w:t>
      </w:r>
    </w:p>
    <w:p>
      <w:pPr>
        <w:spacing w:line="600" w:lineRule="exact"/>
        <w:ind w:firstLine="640"/>
        <w:rPr>
          <w:rFonts w:ascii="仿宋" w:eastAsia="仿宋" w:hint="eastAsia"/>
          <w:sz w:val="32"/>
          <w:szCs w:val="32"/>
          <w:lang w:val="en-US" w:eastAsia="zh-CN"/>
        </w:rPr>
      </w:pPr>
      <w:r>
        <w:rPr>
          <w:rFonts w:eastAsia="仿宋_GB2312" w:cs="仿宋_GB2312" w:hint="eastAsia"/>
          <w:sz w:val="32"/>
          <w:szCs w:val="32"/>
        </w:rPr>
        <w:t>公务用车运行维护费支出</w:t>
      </w:r>
      <w:r>
        <w:rPr>
          <w:rFonts w:eastAsia="仿宋_GB2312" w:cs="仿宋_GB2312" w:hint="eastAsia"/>
          <w:sz w:val="32"/>
          <w:szCs w:val="32"/>
          <w:lang w:val="en-US" w:eastAsia="zh-CN"/>
        </w:rPr>
        <w:t>6.02</w:t>
      </w:r>
      <w:r>
        <w:rPr>
          <w:rFonts w:eastAsia="仿宋_GB2312" w:cs="仿宋_GB2312" w:hint="eastAsia"/>
          <w:sz w:val="32"/>
          <w:szCs w:val="32"/>
        </w:rPr>
        <w:t>万元。</w:t>
      </w:r>
      <w:r>
        <w:rPr>
          <w:rFonts w:ascii="仿宋" w:eastAsia="仿宋" w:hint="eastAsia"/>
          <w:sz w:val="32"/>
          <w:szCs w:val="32"/>
          <w:lang w:val="en-US" w:eastAsia="zh-CN"/>
        </w:rPr>
        <w:t>主要用于退役军人事务工作所需的公务用车燃料费、维修费、过路过桥费、保险费等支出。</w:t>
      </w:r>
    </w:p>
    <w:p>
      <w:pPr>
        <w:spacing w:line="600" w:lineRule="exact"/>
        <w:ind w:firstLine="640"/>
        <w:rPr>
          <w:rFonts w:eastAsia="仿宋_GB2312" w:cs="仿宋_GB2312"/>
          <w:sz w:val="32"/>
          <w:szCs w:val="32"/>
        </w:rPr>
      </w:pPr>
      <w:r>
        <w:rPr>
          <w:rFonts w:eastAsia="仿宋_GB2312" w:cs="仿宋_GB2312" w:hint="eastAsia"/>
          <w:b/>
          <w:bCs/>
          <w:sz w:val="32"/>
          <w:szCs w:val="32"/>
        </w:rPr>
        <w:t>3.公务接待费支出</w:t>
      </w:r>
      <w:r>
        <w:rPr>
          <w:rFonts w:eastAsia="仿宋_GB2312" w:cs="仿宋_GB2312" w:hint="eastAsia"/>
          <w:b/>
          <w:bCs/>
          <w:sz w:val="32"/>
          <w:szCs w:val="32"/>
          <w:lang w:val="en-US" w:eastAsia="zh-CN"/>
        </w:rPr>
        <w:t>0.72</w:t>
      </w:r>
      <w:r>
        <w:rPr>
          <w:rFonts w:eastAsia="仿宋_GB2312" w:cs="仿宋_GB2312" w:hint="eastAsia"/>
          <w:b/>
          <w:bCs/>
          <w:sz w:val="32"/>
          <w:szCs w:val="32"/>
        </w:rPr>
        <w:t>万元，完成预算</w:t>
      </w:r>
      <w:r>
        <w:rPr>
          <w:rFonts w:eastAsia="仿宋_GB2312" w:cs="仿宋_GB2312" w:hint="eastAsia"/>
          <w:b/>
          <w:bCs/>
          <w:sz w:val="32"/>
          <w:szCs w:val="32"/>
          <w:lang w:val="en-US" w:eastAsia="zh-CN"/>
        </w:rPr>
        <w:t>100</w:t>
      </w:r>
      <w:r>
        <w:rPr>
          <w:rFonts w:eastAsia="仿宋_GB2312" w:cs="仿宋_GB2312" w:hint="eastAsia"/>
          <w:b/>
          <w:bCs/>
          <w:sz w:val="32"/>
          <w:szCs w:val="32"/>
        </w:rPr>
        <w:t>%。</w:t>
      </w:r>
      <w:r>
        <w:rPr>
          <w:rFonts w:eastAsia="仿宋_GB2312" w:cs="仿宋_GB2312" w:hint="eastAsia"/>
          <w:sz w:val="32"/>
          <w:szCs w:val="32"/>
        </w:rPr>
        <w:t>公务接待费支出决算比上年度减少</w:t>
      </w:r>
      <w:r>
        <w:rPr>
          <w:rFonts w:eastAsia="仿宋_GB2312" w:cs="仿宋_GB2312" w:hint="eastAsia"/>
          <w:sz w:val="32"/>
          <w:szCs w:val="32"/>
          <w:lang w:val="en-US" w:eastAsia="zh-CN"/>
        </w:rPr>
        <w:t>0.13</w:t>
      </w:r>
      <w:r>
        <w:rPr>
          <w:rFonts w:eastAsia="仿宋_GB2312" w:cs="仿宋_GB2312" w:hint="eastAsia"/>
          <w:sz w:val="32"/>
          <w:szCs w:val="32"/>
        </w:rPr>
        <w:t>万元，下降</w:t>
      </w:r>
      <w:r>
        <w:rPr>
          <w:rFonts w:eastAsia="仿宋_GB2312" w:cs="仿宋_GB2312" w:hint="eastAsia"/>
          <w:sz w:val="32"/>
          <w:szCs w:val="32"/>
          <w:lang w:val="en-US" w:eastAsia="zh-CN"/>
        </w:rPr>
        <w:t>15.</w:t>
      </w:r>
      <w:r>
        <w:rPr>
          <w:rFonts w:eastAsia="仿宋_GB2312" w:cs="仿宋_GB2312"/>
          <w:sz w:val="32"/>
          <w:szCs w:val="32"/>
          <w:lang w:eastAsia="zh-CN"/>
        </w:rPr>
        <w:t>3</w:t>
      </w:r>
      <w:r>
        <w:rPr>
          <w:rFonts w:eastAsia="仿宋_GB2312" w:cs="仿宋_GB2312" w:hint="eastAsia"/>
          <w:sz w:val="32"/>
          <w:szCs w:val="32"/>
        </w:rPr>
        <w:t>%。主要原因是</w:t>
      </w:r>
      <w:r>
        <w:rPr>
          <w:rFonts w:ascii="仿宋" w:eastAsia="仿宋" w:hint="eastAsia"/>
          <w:sz w:val="32"/>
          <w:szCs w:val="32"/>
          <w:lang w:val="en-US" w:eastAsia="zh-CN"/>
        </w:rPr>
        <w:t>厉行节约，压减经费开支</w:t>
      </w:r>
      <w:r>
        <w:rPr>
          <w:rFonts w:eastAsia="仿宋_GB2312" w:cs="仿宋_GB2312" w:hint="eastAsia"/>
          <w:sz w:val="32"/>
          <w:szCs w:val="32"/>
        </w:rPr>
        <w:t>。其中：</w:t>
      </w:r>
    </w:p>
    <w:p>
      <w:pPr>
        <w:spacing w:line="600" w:lineRule="exact"/>
        <w:ind w:firstLine="640"/>
        <w:rPr>
          <w:rFonts w:ascii="仿宋_GB2312" w:eastAsia="仿宋_GB2312" w:hint="eastAsia"/>
          <w:color w:val="auto"/>
          <w:sz w:val="32"/>
          <w:szCs w:val="32"/>
          <w:lang w:eastAsia="zh-CN"/>
          <w:highlight w:val="auto"/>
        </w:rPr>
      </w:pPr>
      <w:r>
        <w:rPr>
          <w:rFonts w:eastAsia="仿宋_GB2312" w:cs="仿宋_GB2312" w:hint="eastAsia"/>
          <w:sz w:val="32"/>
          <w:szCs w:val="32"/>
        </w:rPr>
        <w:t>国内公务接待支出</w:t>
      </w:r>
      <w:r>
        <w:rPr>
          <w:rFonts w:eastAsia="仿宋_GB2312" w:cs="仿宋_GB2312" w:hint="eastAsia"/>
          <w:sz w:val="32"/>
          <w:szCs w:val="32"/>
          <w:lang w:val="en-US" w:eastAsia="zh-CN"/>
        </w:rPr>
        <w:t>0.72</w:t>
      </w:r>
      <w:r>
        <w:rPr>
          <w:rFonts w:eastAsia="仿宋_GB2312" w:cs="仿宋_GB2312" w:hint="eastAsia"/>
          <w:sz w:val="32"/>
          <w:szCs w:val="32"/>
        </w:rPr>
        <w:t>万元，</w:t>
      </w:r>
      <w:r>
        <w:rPr>
          <w:rFonts w:ascii="仿宋_GB2312" w:eastAsia="仿宋_GB2312" w:hint="eastAsia"/>
          <w:color w:val="auto"/>
          <w:sz w:val="32"/>
          <w:szCs w:val="32"/>
          <w:highlight w:val="auto"/>
        </w:rPr>
        <w:t>主要用于</w:t>
      </w:r>
      <w:r>
        <w:rPr>
          <w:rFonts w:ascii="仿宋" w:eastAsia="仿宋" w:hint="eastAsia"/>
          <w:sz w:val="32"/>
          <w:szCs w:val="32"/>
          <w:lang w:val="en-US" w:eastAsia="zh-CN"/>
        </w:rPr>
        <w:t>开展业务活动开支的用餐费。</w:t>
      </w:r>
      <w:r>
        <w:rPr>
          <w:rFonts w:eastAsia="仿宋_GB2312" w:cs="仿宋_GB2312" w:hint="eastAsia"/>
          <w:sz w:val="32"/>
          <w:szCs w:val="32"/>
        </w:rPr>
        <w:t>国内公务接待</w:t>
      </w:r>
      <w:r>
        <w:rPr>
          <w:rFonts w:eastAsia="仿宋_GB2312" w:cs="仿宋_GB2312" w:hint="eastAsia"/>
          <w:sz w:val="32"/>
          <w:szCs w:val="32"/>
          <w:lang w:val="en-US" w:eastAsia="zh-CN"/>
        </w:rPr>
        <w:t>6</w:t>
      </w:r>
      <w:r>
        <w:rPr>
          <w:rFonts w:eastAsia="仿宋_GB2312" w:cs="仿宋_GB2312" w:hint="eastAsia"/>
          <w:sz w:val="32"/>
          <w:szCs w:val="32"/>
        </w:rPr>
        <w:t>批次，</w:t>
      </w:r>
      <w:r>
        <w:rPr>
          <w:rFonts w:eastAsia="仿宋_GB2312" w:cs="仿宋_GB2312"/>
          <w:sz w:val="32"/>
          <w:szCs w:val="32"/>
        </w:rPr>
        <w:t>27</w:t>
      </w:r>
      <w:r>
        <w:rPr>
          <w:rFonts w:eastAsia="仿宋_GB2312" w:cs="仿宋_GB2312" w:hint="eastAsia"/>
          <w:sz w:val="32"/>
          <w:szCs w:val="32"/>
        </w:rPr>
        <w:t>人次</w:t>
      </w:r>
      <w:r>
        <w:rPr>
          <w:rFonts w:ascii="仿宋_GB2312" w:eastAsia="仿宋_GB2312" w:hint="eastAsia"/>
          <w:color w:val="auto"/>
          <w:sz w:val="32"/>
          <w:szCs w:val="32"/>
          <w:highlight w:val="auto"/>
        </w:rPr>
        <w:t>（不包括陪同人员），共计支出</w:t>
      </w:r>
      <w:r>
        <w:rPr>
          <w:rFonts w:ascii="仿宋_GB2312" w:eastAsia="仿宋_GB2312" w:hint="eastAsia"/>
          <w:color w:val="auto"/>
          <w:sz w:val="32"/>
          <w:szCs w:val="32"/>
          <w:lang w:val="en-US" w:eastAsia="zh-CN"/>
          <w:highlight w:val="auto"/>
        </w:rPr>
        <w:t>0.72</w:t>
      </w:r>
      <w:r>
        <w:rPr>
          <w:rFonts w:ascii="仿宋_GB2312" w:eastAsia="仿宋_GB2312" w:hint="eastAsia"/>
          <w:color w:val="auto"/>
          <w:sz w:val="32"/>
          <w:szCs w:val="32"/>
          <w:highlight w:val="auto"/>
        </w:rPr>
        <w:t>万元，具体内容包括：</w:t>
      </w:r>
      <w:r>
        <w:rPr>
          <w:rFonts w:ascii="仿宋_GB2312" w:eastAsia="仿宋_GB2312" w:hint="eastAsia"/>
          <w:color w:val="auto"/>
          <w:sz w:val="32"/>
          <w:szCs w:val="32"/>
          <w:lang w:val="en-US" w:eastAsia="zh-CN"/>
          <w:highlight w:val="auto"/>
        </w:rPr>
        <w:t>省厅莅攀开展退役士兵教育培训服务专题调研</w:t>
      </w:r>
      <w:r>
        <w:rPr>
          <w:rFonts w:ascii="仿宋_GB2312" w:eastAsia="仿宋_GB2312"/>
          <w:color w:val="auto"/>
          <w:sz w:val="32"/>
          <w:szCs w:val="32"/>
          <w:lang w:eastAsia="zh-CN"/>
          <w:highlight w:val="auto"/>
        </w:rPr>
        <w:t>0.11</w:t>
      </w:r>
      <w:r>
        <w:rPr>
          <w:rFonts w:ascii="仿宋_GB2312" w:eastAsia="仿宋_GB2312" w:hint="eastAsia"/>
          <w:color w:val="auto"/>
          <w:sz w:val="32"/>
          <w:szCs w:val="32"/>
          <w:lang w:val="en-US" w:eastAsia="zh-CN"/>
          <w:highlight w:val="auto"/>
        </w:rPr>
        <w:t>万元；省厅莅攀开展退役军人信访维稳和基层服务中心（站）工作</w:t>
      </w:r>
      <w:r>
        <w:rPr>
          <w:rFonts w:ascii="仿宋_GB2312" w:eastAsia="仿宋_GB2312"/>
          <w:color w:val="auto"/>
          <w:sz w:val="32"/>
          <w:szCs w:val="32"/>
          <w:lang w:eastAsia="zh-CN"/>
          <w:highlight w:val="auto"/>
        </w:rPr>
        <w:t>0.11</w:t>
      </w:r>
      <w:r>
        <w:rPr>
          <w:rFonts w:ascii="仿宋_GB2312" w:eastAsia="仿宋_GB2312" w:hint="eastAsia"/>
          <w:color w:val="auto"/>
          <w:sz w:val="32"/>
          <w:szCs w:val="32"/>
          <w:lang w:eastAsia="zh-CN"/>
          <w:highlight w:val="auto"/>
        </w:rPr>
        <w:t>万元；遂宁市退役军人事务局赴攀学习考察</w:t>
      </w:r>
      <w:r>
        <w:rPr>
          <w:rFonts w:ascii="仿宋_GB2312" w:eastAsia="仿宋_GB2312"/>
          <w:color w:val="auto"/>
          <w:sz w:val="32"/>
          <w:szCs w:val="32"/>
          <w:lang w:eastAsia="zh-CN"/>
          <w:highlight w:val="auto"/>
        </w:rPr>
        <w:t>0.17</w:t>
      </w:r>
      <w:r>
        <w:rPr>
          <w:rFonts w:ascii="仿宋_GB2312" w:eastAsia="仿宋_GB2312" w:hint="eastAsia"/>
          <w:color w:val="auto"/>
          <w:sz w:val="32"/>
          <w:szCs w:val="32"/>
          <w:lang w:eastAsia="zh-CN"/>
          <w:highlight w:val="auto"/>
        </w:rPr>
        <w:t>万元；省厅莅攀开展退役军人工作实地督查</w:t>
      </w:r>
      <w:r>
        <w:rPr>
          <w:rFonts w:ascii="仿宋_GB2312" w:eastAsia="仿宋_GB2312"/>
          <w:color w:val="auto"/>
          <w:sz w:val="32"/>
          <w:szCs w:val="32"/>
          <w:lang w:eastAsia="zh-CN"/>
          <w:highlight w:val="auto"/>
        </w:rPr>
        <w:t>0.19</w:t>
      </w:r>
      <w:r>
        <w:rPr>
          <w:rFonts w:ascii="仿宋_GB2312" w:eastAsia="仿宋_GB2312" w:hint="eastAsia"/>
          <w:color w:val="auto"/>
          <w:sz w:val="32"/>
          <w:szCs w:val="32"/>
          <w:lang w:eastAsia="zh-CN"/>
          <w:highlight w:val="auto"/>
        </w:rPr>
        <w:t>万元；省厅莅攀开展</w:t>
      </w:r>
      <w:r>
        <w:rPr>
          <w:rFonts w:ascii="仿宋_GB2312" w:eastAsia="仿宋_GB2312"/>
          <w:color w:val="auto"/>
          <w:sz w:val="32"/>
          <w:szCs w:val="32"/>
          <w:lang w:eastAsia="zh-CN"/>
          <w:highlight w:val="auto"/>
        </w:rPr>
        <w:t>2025</w:t>
      </w:r>
      <w:r>
        <w:rPr>
          <w:rFonts w:ascii="仿宋_GB2312" w:eastAsia="仿宋_GB2312" w:hint="eastAsia"/>
          <w:color w:val="auto"/>
          <w:sz w:val="32"/>
          <w:szCs w:val="32"/>
          <w:lang w:eastAsia="zh-CN"/>
          <w:highlight w:val="auto"/>
        </w:rPr>
        <w:t>年常态化联系退役军人等工作</w:t>
      </w:r>
      <w:r>
        <w:rPr>
          <w:rFonts w:ascii="仿宋_GB2312" w:eastAsia="仿宋_GB2312"/>
          <w:color w:val="auto"/>
          <w:sz w:val="32"/>
          <w:szCs w:val="32"/>
          <w:lang w:eastAsia="zh-CN"/>
          <w:highlight w:val="auto"/>
        </w:rPr>
        <w:t>0.05</w:t>
      </w:r>
      <w:r>
        <w:rPr>
          <w:rFonts w:ascii="仿宋_GB2312" w:eastAsia="仿宋_GB2312" w:hint="eastAsia"/>
          <w:color w:val="auto"/>
          <w:sz w:val="32"/>
          <w:szCs w:val="32"/>
          <w:lang w:eastAsia="zh-CN"/>
          <w:highlight w:val="auto"/>
        </w:rPr>
        <w:t>万元</w:t>
      </w:r>
      <w:r>
        <w:rPr>
          <w:rFonts w:ascii="仿宋_GB2312" w:eastAsia="仿宋_GB2312"/>
          <w:color w:val="auto"/>
          <w:sz w:val="32"/>
          <w:szCs w:val="32"/>
          <w:lang w:eastAsia="zh-CN"/>
          <w:highlight w:val="auto"/>
        </w:rPr>
        <w:t>;省数据中心调研组赴攀枝花实地调研相关信息化建设情况0.09万元</w:t>
      </w:r>
      <w:r>
        <w:rPr>
          <w:rFonts w:ascii="仿宋_GB2312" w:eastAsia="仿宋_GB2312" w:hint="eastAsia"/>
          <w:color w:val="auto"/>
          <w:sz w:val="32"/>
          <w:szCs w:val="32"/>
          <w:lang w:eastAsia="zh-CN"/>
          <w:highlight w:val="auto"/>
        </w:rPr>
        <w:t>。</w:t>
      </w:r>
    </w:p>
    <w:p>
      <w:pPr>
        <w:spacing w:line="600" w:lineRule="exact"/>
        <w:ind w:firstLine="640"/>
        <w:rPr>
          <w:rFonts w:eastAsia="仿宋_GB2312" w:cs="仿宋_GB2312"/>
          <w:sz w:val="32"/>
          <w:szCs w:val="32"/>
        </w:rPr>
      </w:pPr>
      <w:r>
        <w:rPr>
          <w:rFonts w:eastAsia="仿宋_GB2312" w:cs="仿宋_GB2312" w:hint="eastAsia"/>
          <w:sz w:val="32"/>
          <w:szCs w:val="32"/>
        </w:rPr>
        <w:t>外事接待支出</w:t>
      </w:r>
      <w:r>
        <w:rPr>
          <w:rFonts w:eastAsia="仿宋_GB2312" w:cs="仿宋_GB2312" w:hint="eastAsia"/>
          <w:sz w:val="32"/>
          <w:szCs w:val="32"/>
          <w:lang w:val="en-US" w:eastAsia="zh-CN"/>
        </w:rPr>
        <w:t>0</w:t>
      </w:r>
      <w:r>
        <w:rPr>
          <w:rFonts w:eastAsia="仿宋_GB2312" w:cs="仿宋_GB2312" w:hint="eastAsia"/>
          <w:sz w:val="32"/>
          <w:szCs w:val="32"/>
        </w:rPr>
        <w:t>万元。外事接待</w:t>
      </w:r>
      <w:r>
        <w:rPr>
          <w:rFonts w:eastAsia="仿宋_GB2312" w:cs="仿宋_GB2312" w:hint="eastAsia"/>
          <w:sz w:val="32"/>
          <w:szCs w:val="32"/>
          <w:lang w:val="en-US" w:eastAsia="zh-CN"/>
        </w:rPr>
        <w:t>0</w:t>
      </w:r>
      <w:r>
        <w:rPr>
          <w:rFonts w:eastAsia="仿宋_GB2312" w:cs="仿宋_GB2312" w:hint="eastAsia"/>
          <w:sz w:val="32"/>
          <w:szCs w:val="32"/>
        </w:rPr>
        <w:t>批次，</w:t>
      </w:r>
      <w:r>
        <w:rPr>
          <w:rFonts w:eastAsia="仿宋_GB2312" w:cs="仿宋_GB2312" w:hint="eastAsia"/>
          <w:sz w:val="32"/>
          <w:szCs w:val="32"/>
          <w:lang w:val="en-US" w:eastAsia="zh-CN"/>
        </w:rPr>
        <w:t>0</w:t>
      </w:r>
      <w:r>
        <w:rPr>
          <w:rFonts w:eastAsia="仿宋_GB2312" w:cs="仿宋_GB2312" w:hint="eastAsia"/>
          <w:sz w:val="32"/>
          <w:szCs w:val="32"/>
        </w:rPr>
        <w:t>人次（不包括陪同人员），共计支出</w:t>
      </w:r>
      <w:r>
        <w:rPr>
          <w:rFonts w:eastAsia="仿宋_GB2312" w:cs="仿宋_GB2312" w:hint="eastAsia"/>
          <w:sz w:val="32"/>
          <w:szCs w:val="32"/>
          <w:lang w:val="en-US" w:eastAsia="zh-CN"/>
        </w:rPr>
        <w:t>0</w:t>
      </w:r>
      <w:r>
        <w:rPr>
          <w:rFonts w:eastAsia="仿宋_GB2312" w:cs="仿宋_GB2312" w:hint="eastAsia"/>
          <w:sz w:val="32"/>
          <w:szCs w:val="32"/>
        </w:rPr>
        <w:t>万元。</w:t>
      </w:r>
      <w:bookmarkStart w:id="81" w:name="_Toc15377218"/>
      <w:bookmarkStart w:id="82" w:name="_Toc15396610"/>
    </w:p>
    <w:p>
      <w:pPr>
        <w:pStyle w:val="2"/>
        <w:bidi w:val="0"/>
      </w:pPr>
      <w:bookmarkStart w:id="83" w:name="_Toc2074837851_WPSOffice_Level2"/>
      <w:r>
        <w:rPr>
          <w:rFonts w:hint="eastAsia"/>
        </w:rPr>
        <w:t>八、政府性基金预算支出决算情况说明</w:t>
      </w:r>
      <w:bookmarkEnd w:id="81"/>
      <w:bookmarkEnd w:id="82"/>
      <w:bookmarkEnd w:id="83"/>
    </w:p>
    <w:p>
      <w:pPr>
        <w:spacing w:line="600" w:lineRule="exact"/>
        <w:ind w:firstLineChars="200" w:firstLine="640"/>
        <w:rPr>
          <w:rFonts w:eastAsia="仿宋_GB2312" w:cs="仿宋_GB2312"/>
          <w:sz w:val="32"/>
          <w:szCs w:val="32"/>
        </w:rPr>
      </w:pPr>
      <w:r>
        <w:rPr>
          <w:rFonts w:eastAsia="仿宋_GB2312" w:cs="仿宋_GB2312" w:hint="eastAsia"/>
          <w:sz w:val="32"/>
          <w:szCs w:val="32"/>
        </w:rPr>
        <w:t>2025年度政府性基金预算财政拨款支出</w:t>
      </w:r>
      <w:r>
        <w:rPr>
          <w:rFonts w:eastAsia="仿宋_GB2312" w:cs="仿宋_GB2312" w:hint="eastAsia"/>
          <w:sz w:val="32"/>
          <w:szCs w:val="32"/>
          <w:lang w:val="en-US" w:eastAsia="zh-CN"/>
        </w:rPr>
        <w:t>11.11</w:t>
      </w:r>
      <w:r>
        <w:rPr>
          <w:rFonts w:eastAsia="仿宋_GB2312" w:cs="仿宋_GB2312" w:hint="eastAsia"/>
          <w:sz w:val="32"/>
          <w:szCs w:val="32"/>
        </w:rPr>
        <w:t>万元，占本年支出合计的</w:t>
      </w:r>
      <w:r>
        <w:rPr>
          <w:rFonts w:eastAsia="仿宋_GB2312" w:cs="仿宋_GB2312" w:hint="eastAsia"/>
          <w:sz w:val="32"/>
          <w:szCs w:val="32"/>
          <w:lang w:val="en-US" w:eastAsia="zh-CN"/>
        </w:rPr>
        <w:t>0.2</w:t>
      </w:r>
      <w:r>
        <w:rPr>
          <w:rFonts w:eastAsia="仿宋_GB2312" w:cs="仿宋_GB2312" w:hint="eastAsia"/>
          <w:sz w:val="32"/>
          <w:szCs w:val="32"/>
        </w:rPr>
        <w:t>%。与上年度相比，政府性基金预算财政拨款支出增加</w:t>
      </w:r>
      <w:r>
        <w:rPr>
          <w:rFonts w:eastAsia="仿宋_GB2312" w:cs="仿宋_GB2312" w:hint="eastAsia"/>
          <w:sz w:val="32"/>
          <w:szCs w:val="32"/>
          <w:lang w:val="en-US" w:eastAsia="zh-CN"/>
        </w:rPr>
        <w:t>11.11</w:t>
      </w:r>
      <w:r>
        <w:rPr>
          <w:rFonts w:eastAsia="仿宋_GB2312" w:cs="仿宋_GB2312" w:hint="eastAsia"/>
          <w:sz w:val="32"/>
          <w:szCs w:val="32"/>
        </w:rPr>
        <w:t>万元，增长</w:t>
      </w:r>
      <w:r>
        <w:rPr>
          <w:rFonts w:eastAsia="仿宋_GB2312" w:cs="仿宋_GB2312" w:hint="eastAsia"/>
          <w:sz w:val="32"/>
          <w:szCs w:val="32"/>
          <w:lang w:val="en-US" w:eastAsia="zh-CN"/>
        </w:rPr>
        <w:t>100</w:t>
      </w:r>
      <w:r>
        <w:rPr>
          <w:rFonts w:eastAsia="仿宋_GB2312" w:cs="仿宋_GB2312" w:hint="eastAsia"/>
          <w:sz w:val="32"/>
          <w:szCs w:val="32"/>
        </w:rPr>
        <w:t>%。主要变动原因是</w:t>
      </w:r>
      <w:r>
        <w:rPr>
          <w:rFonts w:eastAsia="仿宋_GB2312" w:cs="仿宋_GB2312" w:hint="eastAsia"/>
          <w:sz w:val="32"/>
          <w:szCs w:val="32"/>
          <w:lang w:eastAsia="zh-CN"/>
        </w:rPr>
        <w:t>用于支付武警攀枝花支队军史文化长廊改造费用。</w:t>
      </w:r>
    </w:p>
    <w:p>
      <w:pPr>
        <w:pStyle w:val="2"/>
        <w:bidi w:val="0"/>
      </w:pPr>
      <w:bookmarkStart w:id="84" w:name="_Toc15396611"/>
      <w:bookmarkStart w:id="85" w:name="_Toc2119900506_WPSOffice_Level2"/>
      <w:bookmarkStart w:id="86" w:name="_Toc15377219"/>
      <w:r>
        <w:rPr>
          <w:rFonts w:hint="eastAsia"/>
        </w:rPr>
        <w:t>九、国有资本经营预算支出决算情况说明</w:t>
      </w:r>
      <w:bookmarkEnd w:id="84"/>
      <w:bookmarkEnd w:id="85"/>
      <w:bookmarkEnd w:id="86"/>
    </w:p>
    <w:p>
      <w:pPr>
        <w:spacing w:line="600" w:lineRule="exact"/>
        <w:ind w:firstLine="640"/>
        <w:rPr>
          <w:rFonts w:eastAsia="仿宋_GB2312" w:cs="仿宋_GB2312"/>
          <w:sz w:val="32"/>
          <w:szCs w:val="32"/>
        </w:rPr>
      </w:pPr>
      <w:r>
        <w:rPr>
          <w:rFonts w:eastAsia="仿宋_GB2312" w:cs="仿宋_GB2312" w:hint="eastAsia"/>
          <w:sz w:val="32"/>
          <w:szCs w:val="32"/>
        </w:rPr>
        <w:t>2025年度国有资本经营预算财政拨款支出</w:t>
      </w:r>
      <w:r>
        <w:rPr>
          <w:rFonts w:eastAsia="仿宋_GB2312" w:cs="仿宋_GB2312"/>
          <w:sz w:val="32"/>
          <w:szCs w:val="32"/>
        </w:rPr>
        <w:t>0</w:t>
      </w:r>
      <w:r>
        <w:rPr>
          <w:rFonts w:eastAsia="仿宋_GB2312" w:cs="仿宋_GB2312" w:hint="eastAsia"/>
          <w:sz w:val="32"/>
          <w:szCs w:val="32"/>
        </w:rPr>
        <w:t>万元，占本年支出合计的</w:t>
      </w:r>
      <w:r>
        <w:rPr>
          <w:rFonts w:eastAsia="仿宋_GB2312" w:cs="仿宋_GB2312"/>
          <w:sz w:val="32"/>
          <w:szCs w:val="32"/>
        </w:rPr>
        <w:t>0</w:t>
      </w:r>
      <w:r>
        <w:rPr>
          <w:rFonts w:eastAsia="仿宋_GB2312" w:cs="仿宋_GB2312" w:hint="eastAsia"/>
          <w:sz w:val="32"/>
          <w:szCs w:val="32"/>
        </w:rPr>
        <w:t>%。与上年度相比，国有资本经营预算财政拨款支出</w:t>
      </w:r>
      <w:r>
        <w:rPr>
          <w:rFonts w:eastAsia="仿宋_GB2312" w:cs="仿宋_GB2312" w:hint="eastAsia"/>
          <w:sz w:val="32"/>
          <w:szCs w:val="32"/>
          <w:lang w:eastAsia="zh-CN"/>
        </w:rPr>
        <w:t>持平。</w:t>
      </w:r>
    </w:p>
    <w:p>
      <w:pPr>
        <w:pStyle w:val="2"/>
        <w:bidi w:val="0"/>
      </w:pPr>
      <w:bookmarkStart w:id="87" w:name="_Toc915385887_WPSOffice_Level2"/>
      <w:bookmarkStart w:id="88" w:name="_Toc15377221"/>
      <w:bookmarkStart w:id="89" w:name="_Toc15396612"/>
      <w:r>
        <w:rPr>
          <w:rFonts w:hint="eastAsia"/>
        </w:rPr>
        <w:t>十、其他重要事项的情况说明</w:t>
      </w:r>
      <w:bookmarkEnd w:id="87"/>
      <w:bookmarkEnd w:id="88"/>
      <w:bookmarkEnd w:id="89"/>
    </w:p>
    <w:p>
      <w:pPr>
        <w:spacing w:line="600" w:lineRule="exact"/>
        <w:outlineLvl w:val="2"/>
        <w:rPr>
          <w:rFonts w:eastAsia="楷体_GB2312" w:cs="楷体_GB2312"/>
          <w:b/>
          <w:sz w:val="32"/>
          <w:szCs w:val="32"/>
        </w:rPr>
      </w:pPr>
      <w:bookmarkStart w:id="90" w:name="_Toc15377222"/>
      <w:r>
        <w:rPr>
          <w:rFonts w:eastAsia="楷体_GB2312" w:cs="楷体_GB2312" w:hint="eastAsia"/>
          <w:b/>
          <w:sz w:val="32"/>
          <w:szCs w:val="32"/>
        </w:rPr>
        <w:t>（一）机关运行经费支出情况</w:t>
      </w:r>
      <w:bookmarkEnd w:id="90"/>
    </w:p>
    <w:p>
      <w:pPr>
        <w:spacing w:line="600" w:lineRule="exact"/>
        <w:ind w:firstLine="640"/>
        <w:rPr>
          <w:rFonts w:eastAsia="仿宋_GB2312" w:cs="仿宋_GB2312"/>
          <w:sz w:val="32"/>
          <w:szCs w:val="32"/>
        </w:rPr>
      </w:pPr>
      <w:r>
        <w:rPr>
          <w:rFonts w:eastAsia="仿宋_GB2312" w:cs="仿宋_GB2312" w:hint="eastAsia"/>
          <w:sz w:val="32"/>
          <w:szCs w:val="32"/>
        </w:rPr>
        <w:t>2025年度，</w:t>
      </w:r>
      <w:r>
        <w:rPr>
          <w:rFonts w:ascii="仿宋_GB2312" w:eastAsia="仿宋_GB2312" w:hint="eastAsia"/>
          <w:color w:val="auto"/>
          <w:sz w:val="32"/>
          <w:szCs w:val="32"/>
          <w:lang w:eastAsia="zh-CN"/>
          <w:highlight w:val="auto"/>
        </w:rPr>
        <w:t>市退役军人事务局</w:t>
      </w:r>
      <w:r>
        <w:rPr>
          <w:rFonts w:eastAsia="仿宋_GB2312" w:cs="仿宋_GB2312" w:hint="eastAsia"/>
          <w:sz w:val="32"/>
          <w:szCs w:val="32"/>
        </w:rPr>
        <w:t>机关运行经费支出</w:t>
      </w:r>
      <w:r>
        <w:rPr>
          <w:rFonts w:eastAsia="仿宋_GB2312" w:cs="仿宋_GB2312"/>
          <w:sz w:val="32"/>
          <w:szCs w:val="32"/>
        </w:rPr>
        <w:t>44.28</w:t>
      </w:r>
      <w:r>
        <w:rPr>
          <w:rFonts w:eastAsia="仿宋_GB2312" w:cs="仿宋_GB2312" w:hint="eastAsia"/>
          <w:sz w:val="32"/>
          <w:szCs w:val="32"/>
        </w:rPr>
        <w:t>万元，比上年度减少</w:t>
      </w:r>
      <w:r>
        <w:rPr>
          <w:rFonts w:eastAsia="仿宋_GB2312" w:cs="仿宋_GB2312"/>
          <w:sz w:val="32"/>
          <w:szCs w:val="32"/>
        </w:rPr>
        <w:t>2.4</w:t>
      </w:r>
      <w:r>
        <w:rPr>
          <w:rFonts w:eastAsia="仿宋_GB2312" w:cs="仿宋_GB2312" w:hint="eastAsia"/>
          <w:sz w:val="32"/>
          <w:szCs w:val="32"/>
        </w:rPr>
        <w:t>万元，下降</w:t>
      </w:r>
      <w:r>
        <w:rPr>
          <w:rFonts w:eastAsia="仿宋_GB2312" w:cs="仿宋_GB2312"/>
          <w:sz w:val="32"/>
          <w:szCs w:val="32"/>
        </w:rPr>
        <w:t>5.1</w:t>
      </w:r>
      <w:r>
        <w:rPr>
          <w:rFonts w:eastAsia="仿宋_GB2312" w:cs="仿宋_GB2312" w:hint="eastAsia"/>
          <w:sz w:val="32"/>
          <w:szCs w:val="32"/>
        </w:rPr>
        <w:t>%。主要原因是</w:t>
      </w:r>
      <w:r>
        <w:rPr>
          <w:rFonts w:ascii="仿宋_GB2312" w:eastAsia="仿宋_GB2312" w:hint="eastAsia"/>
          <w:color w:val="auto"/>
          <w:sz w:val="32"/>
          <w:szCs w:val="32"/>
          <w:lang w:eastAsia="zh-CN"/>
          <w:highlight w:val="auto"/>
        </w:rPr>
        <w:t>减少办公经费开支。</w:t>
      </w:r>
    </w:p>
    <w:p>
      <w:pPr>
        <w:spacing w:line="600" w:lineRule="exact"/>
        <w:outlineLvl w:val="2"/>
        <w:rPr>
          <w:rFonts w:eastAsia="楷体_GB2312" w:cs="楷体_GB2312"/>
          <w:b/>
          <w:sz w:val="32"/>
          <w:szCs w:val="32"/>
        </w:rPr>
      </w:pPr>
      <w:bookmarkStart w:id="91" w:name="_Toc15377223"/>
      <w:r>
        <w:rPr>
          <w:rFonts w:eastAsia="楷体_GB2312" w:cs="楷体_GB2312" w:hint="eastAsia"/>
          <w:b/>
          <w:sz w:val="32"/>
          <w:szCs w:val="32"/>
        </w:rPr>
        <w:t>（二）政府采购支出情况</w:t>
      </w:r>
      <w:bookmarkEnd w:id="91"/>
    </w:p>
    <w:p>
      <w:pPr>
        <w:spacing w:line="600" w:lineRule="exact"/>
        <w:ind w:firstLine="640"/>
        <w:rPr>
          <w:rFonts w:eastAsia="仿宋_GB2312" w:cs="仿宋_GB2312"/>
          <w:sz w:val="32"/>
          <w:szCs w:val="32"/>
        </w:rPr>
      </w:pPr>
      <w:r>
        <w:rPr>
          <w:rFonts w:eastAsia="仿宋_GB2312" w:cs="仿宋_GB2312" w:hint="eastAsia"/>
          <w:sz w:val="32"/>
          <w:szCs w:val="32"/>
        </w:rPr>
        <w:t>2025年度，</w:t>
      </w:r>
      <w:r>
        <w:rPr>
          <w:rFonts w:eastAsia="仿宋_GB2312" w:cs="仿宋_GB2312" w:hint="eastAsia"/>
          <w:sz w:val="32"/>
          <w:szCs w:val="32"/>
          <w:lang w:eastAsia="zh-CN"/>
        </w:rPr>
        <w:t>市退役军人事务部门</w:t>
      </w:r>
      <w:r>
        <w:rPr>
          <w:rFonts w:eastAsia="仿宋_GB2312" w:cs="仿宋_GB2312" w:hint="eastAsia"/>
          <w:sz w:val="32"/>
          <w:szCs w:val="32"/>
        </w:rPr>
        <w:t>政府采购支出总额</w:t>
      </w:r>
      <w:r>
        <w:rPr>
          <w:rFonts w:eastAsia="仿宋_GB2312" w:cs="仿宋_GB2312" w:hint="eastAsia"/>
          <w:sz w:val="32"/>
          <w:szCs w:val="32"/>
          <w:lang w:val="en-US" w:eastAsia="zh-CN"/>
        </w:rPr>
        <w:t>4.45</w:t>
      </w:r>
      <w:r>
        <w:rPr>
          <w:rFonts w:eastAsia="仿宋_GB2312" w:cs="仿宋_GB2312" w:hint="eastAsia"/>
          <w:sz w:val="32"/>
          <w:szCs w:val="32"/>
        </w:rPr>
        <w:t>万元，其中：政府采购货物支出</w:t>
      </w:r>
      <w:r>
        <w:rPr>
          <w:rFonts w:eastAsia="仿宋_GB2312" w:cs="仿宋_GB2312" w:hint="eastAsia"/>
          <w:sz w:val="32"/>
          <w:szCs w:val="32"/>
          <w:lang w:val="en-US" w:eastAsia="zh-CN"/>
        </w:rPr>
        <w:t>0</w:t>
      </w:r>
      <w:r>
        <w:rPr>
          <w:rFonts w:eastAsia="仿宋_GB2312" w:cs="仿宋_GB2312" w:hint="eastAsia"/>
          <w:sz w:val="32"/>
          <w:szCs w:val="32"/>
        </w:rPr>
        <w:t>万元、政府采购工程支出</w:t>
      </w:r>
      <w:r>
        <w:rPr>
          <w:rFonts w:eastAsia="仿宋_GB2312" w:cs="仿宋_GB2312" w:hint="eastAsia"/>
          <w:sz w:val="32"/>
          <w:szCs w:val="32"/>
          <w:lang w:val="en-US" w:eastAsia="zh-CN"/>
        </w:rPr>
        <w:t>0</w:t>
      </w:r>
      <w:r>
        <w:rPr>
          <w:rFonts w:eastAsia="仿宋_GB2312" w:cs="仿宋_GB2312" w:hint="eastAsia"/>
          <w:sz w:val="32"/>
          <w:szCs w:val="32"/>
        </w:rPr>
        <w:t>万元、政府采购服务支出</w:t>
      </w:r>
      <w:r>
        <w:rPr>
          <w:rFonts w:eastAsia="仿宋_GB2312" w:cs="仿宋_GB2312" w:hint="eastAsia"/>
          <w:sz w:val="32"/>
          <w:szCs w:val="32"/>
          <w:lang w:val="en-US" w:eastAsia="zh-CN"/>
        </w:rPr>
        <w:t>4.45</w:t>
      </w:r>
      <w:r>
        <w:rPr>
          <w:rFonts w:eastAsia="仿宋_GB2312" w:cs="仿宋_GB2312" w:hint="eastAsia"/>
          <w:sz w:val="32"/>
          <w:szCs w:val="32"/>
        </w:rPr>
        <w:t>万元。</w:t>
      </w:r>
      <w:r>
        <w:rPr>
          <w:rFonts w:ascii="仿宋_GB2312" w:eastAsia="仿宋_GB2312" w:hint="eastAsia"/>
          <w:color w:val="auto"/>
          <w:sz w:val="32"/>
          <w:szCs w:val="32"/>
          <w:highlight w:val="auto"/>
        </w:rPr>
        <w:t>主要用于</w:t>
      </w:r>
      <w:r>
        <w:rPr>
          <w:rFonts w:ascii="仿宋_GB2312" w:eastAsia="仿宋_GB2312" w:hint="eastAsia"/>
          <w:color w:val="auto"/>
          <w:sz w:val="32"/>
          <w:szCs w:val="32"/>
          <w:lang w:eastAsia="zh-CN"/>
          <w:highlight w:val="auto"/>
        </w:rPr>
        <w:t>公务车燃油、维修、保险等采购</w:t>
      </w:r>
      <w:r>
        <w:rPr>
          <w:rFonts w:eastAsia="仿宋_GB2312" w:cs="仿宋_GB2312" w:hint="eastAsia"/>
          <w:sz w:val="32"/>
          <w:szCs w:val="32"/>
        </w:rPr>
        <w:t>。授予中小企业合同金额</w:t>
      </w:r>
      <w:r>
        <w:rPr>
          <w:rFonts w:eastAsia="仿宋_GB2312" w:cs="仿宋_GB2312" w:hint="eastAsia"/>
          <w:sz w:val="32"/>
          <w:szCs w:val="32"/>
          <w:lang w:val="en-US" w:eastAsia="zh-CN"/>
        </w:rPr>
        <w:t>3.53</w:t>
      </w:r>
      <w:r>
        <w:rPr>
          <w:rFonts w:eastAsia="仿宋_GB2312" w:cs="仿宋_GB2312" w:hint="eastAsia"/>
          <w:sz w:val="32"/>
          <w:szCs w:val="32"/>
        </w:rPr>
        <w:t>万元，占政府采购支出总额的</w:t>
      </w:r>
      <w:r>
        <w:rPr>
          <w:rFonts w:eastAsia="仿宋_GB2312" w:cs="仿宋_GB2312" w:hint="eastAsia"/>
          <w:sz w:val="32"/>
          <w:szCs w:val="32"/>
          <w:lang w:val="en-US" w:eastAsia="zh-CN"/>
        </w:rPr>
        <w:t>79.3</w:t>
      </w:r>
      <w:r>
        <w:rPr>
          <w:rFonts w:eastAsia="仿宋_GB2312" w:cs="仿宋_GB2312" w:hint="eastAsia"/>
          <w:sz w:val="32"/>
          <w:szCs w:val="32"/>
        </w:rPr>
        <w:t>%，其中：授予小微企业合同金额</w:t>
      </w:r>
      <w:r>
        <w:rPr>
          <w:rFonts w:eastAsia="仿宋_GB2312" w:cs="仿宋_GB2312" w:hint="eastAsia"/>
          <w:sz w:val="32"/>
          <w:szCs w:val="32"/>
          <w:lang w:val="en-US" w:eastAsia="zh-CN"/>
        </w:rPr>
        <w:t>2.78</w:t>
      </w:r>
      <w:r>
        <w:rPr>
          <w:rFonts w:eastAsia="仿宋_GB2312" w:cs="仿宋_GB2312" w:hint="eastAsia"/>
          <w:sz w:val="32"/>
          <w:szCs w:val="32"/>
        </w:rPr>
        <w:t>万元，占政府采购支出总额的</w:t>
      </w:r>
      <w:r>
        <w:rPr>
          <w:rFonts w:eastAsia="仿宋_GB2312" w:cs="仿宋_GB2312" w:hint="eastAsia"/>
          <w:sz w:val="32"/>
          <w:szCs w:val="32"/>
          <w:lang w:val="en-US" w:eastAsia="zh-CN"/>
        </w:rPr>
        <w:t>62.</w:t>
      </w:r>
      <w:r>
        <w:rPr>
          <w:rFonts w:eastAsia="仿宋_GB2312" w:cs="仿宋_GB2312"/>
          <w:sz w:val="32"/>
          <w:szCs w:val="32"/>
          <w:lang w:eastAsia="zh-CN"/>
        </w:rPr>
        <w:t>5</w:t>
      </w:r>
      <w:r>
        <w:rPr>
          <w:rFonts w:eastAsia="仿宋_GB2312" w:cs="仿宋_GB2312" w:hint="eastAsia"/>
          <w:sz w:val="32"/>
          <w:szCs w:val="32"/>
        </w:rPr>
        <w:t>%。</w:t>
      </w:r>
    </w:p>
    <w:p>
      <w:pPr>
        <w:spacing w:line="600" w:lineRule="exact"/>
        <w:outlineLvl w:val="2"/>
        <w:rPr>
          <w:rFonts w:eastAsia="楷体_GB2312" w:cs="楷体_GB2312"/>
          <w:b/>
          <w:sz w:val="32"/>
          <w:szCs w:val="32"/>
        </w:rPr>
      </w:pPr>
      <w:bookmarkStart w:id="92" w:name="_Toc15377224"/>
      <w:r>
        <w:rPr>
          <w:rFonts w:eastAsia="楷体_GB2312" w:cs="楷体_GB2312" w:hint="eastAsia"/>
          <w:b/>
          <w:sz w:val="32"/>
          <w:szCs w:val="32"/>
        </w:rPr>
        <w:t>（三）国有资产占有使用情况</w:t>
      </w:r>
      <w:bookmarkEnd w:id="92"/>
    </w:p>
    <w:p>
      <w:pPr>
        <w:spacing w:line="600" w:lineRule="exact"/>
        <w:ind w:firstLine="640"/>
        <w:rPr>
          <w:rFonts w:eastAsia="仿宋_GB2312" w:cs="仿宋_GB2312"/>
          <w:sz w:val="32"/>
          <w:szCs w:val="32"/>
        </w:rPr>
      </w:pPr>
      <w:r>
        <w:rPr>
          <w:rFonts w:eastAsia="仿宋_GB2312" w:cs="仿宋_GB2312" w:hint="eastAsia"/>
          <w:sz w:val="32"/>
          <w:szCs w:val="32"/>
        </w:rPr>
        <w:t>截至2025年12月31日，</w:t>
      </w:r>
      <w:r>
        <w:rPr>
          <w:rFonts w:eastAsia="仿宋_GB2312" w:cs="仿宋_GB2312" w:hint="eastAsia"/>
          <w:sz w:val="32"/>
          <w:szCs w:val="32"/>
          <w:lang w:eastAsia="zh-CN"/>
        </w:rPr>
        <w:t>市退役军人事务部门</w:t>
      </w:r>
      <w:r>
        <w:rPr>
          <w:rFonts w:eastAsia="仿宋_GB2312" w:cs="仿宋_GB2312" w:hint="eastAsia"/>
          <w:sz w:val="32"/>
          <w:szCs w:val="32"/>
        </w:rPr>
        <w:t>共有车辆</w:t>
      </w:r>
      <w:r>
        <w:rPr>
          <w:rFonts w:eastAsia="仿宋_GB2312" w:cs="仿宋_GB2312" w:hint="eastAsia"/>
          <w:sz w:val="32"/>
          <w:szCs w:val="32"/>
          <w:lang w:val="en-US" w:eastAsia="zh-CN"/>
        </w:rPr>
        <w:t>4</w:t>
      </w:r>
      <w:r>
        <w:rPr>
          <w:rFonts w:eastAsia="仿宋_GB2312" w:cs="仿宋_GB2312" w:hint="eastAsia"/>
          <w:sz w:val="32"/>
          <w:szCs w:val="32"/>
        </w:rPr>
        <w:t>辆，其中：副部（省）级及以上领导用车</w:t>
      </w:r>
      <w:r>
        <w:rPr>
          <w:rFonts w:eastAsia="仿宋_GB2312" w:cs="仿宋_GB2312" w:hint="eastAsia"/>
          <w:sz w:val="32"/>
          <w:szCs w:val="32"/>
          <w:lang w:val="en-US" w:eastAsia="zh-CN"/>
        </w:rPr>
        <w:t>0</w:t>
      </w:r>
      <w:r>
        <w:rPr>
          <w:rFonts w:eastAsia="仿宋_GB2312" w:cs="仿宋_GB2312" w:hint="eastAsia"/>
          <w:sz w:val="32"/>
          <w:szCs w:val="32"/>
        </w:rPr>
        <w:t>辆、主要负责人用车</w:t>
      </w:r>
      <w:r>
        <w:rPr>
          <w:rFonts w:eastAsia="仿宋_GB2312" w:cs="仿宋_GB2312" w:hint="eastAsia"/>
          <w:sz w:val="32"/>
          <w:szCs w:val="32"/>
          <w:lang w:val="en-US" w:eastAsia="zh-CN"/>
        </w:rPr>
        <w:t>0</w:t>
      </w:r>
      <w:r>
        <w:rPr>
          <w:rFonts w:eastAsia="仿宋_GB2312" w:cs="仿宋_GB2312" w:hint="eastAsia"/>
          <w:sz w:val="32"/>
          <w:szCs w:val="32"/>
        </w:rPr>
        <w:t>辆、机要通信用车</w:t>
      </w:r>
      <w:r>
        <w:rPr>
          <w:rFonts w:eastAsia="仿宋_GB2312" w:cs="仿宋_GB2312" w:hint="eastAsia"/>
          <w:sz w:val="32"/>
          <w:szCs w:val="32"/>
          <w:lang w:val="en-US" w:eastAsia="zh-CN"/>
        </w:rPr>
        <w:t>0</w:t>
      </w:r>
      <w:r>
        <w:rPr>
          <w:rFonts w:eastAsia="仿宋_GB2312" w:cs="仿宋_GB2312" w:hint="eastAsia"/>
          <w:sz w:val="32"/>
          <w:szCs w:val="32"/>
        </w:rPr>
        <w:t>辆</w:t>
      </w:r>
      <w:r>
        <w:rPr>
          <w:rFonts w:eastAsia="仿宋_GB2312" w:cs="仿宋_GB2312" w:hint="eastAsia"/>
          <w:sz w:val="32"/>
          <w:szCs w:val="32"/>
          <w:lang w:eastAsia="zh-CN"/>
        </w:rPr>
        <w:t>、应急保障用车</w:t>
      </w:r>
      <w:r>
        <w:rPr>
          <w:rFonts w:eastAsia="仿宋_GB2312" w:cs="仿宋_GB2312" w:hint="eastAsia"/>
          <w:sz w:val="32"/>
          <w:szCs w:val="32"/>
          <w:lang w:val="en-US" w:eastAsia="zh-CN"/>
        </w:rPr>
        <w:t>1</w:t>
      </w:r>
      <w:r>
        <w:rPr>
          <w:rFonts w:eastAsia="仿宋_GB2312" w:cs="仿宋_GB2312" w:hint="eastAsia"/>
          <w:sz w:val="32"/>
          <w:szCs w:val="32"/>
          <w:lang w:eastAsia="zh-CN"/>
        </w:rPr>
        <w:t>辆</w:t>
      </w:r>
      <w:r>
        <w:rPr>
          <w:rFonts w:eastAsia="仿宋_GB2312" w:cs="仿宋_GB2312" w:hint="eastAsia"/>
          <w:sz w:val="32"/>
          <w:szCs w:val="32"/>
        </w:rPr>
        <w:t>、执法执勤用车</w:t>
      </w:r>
      <w:r>
        <w:rPr>
          <w:rFonts w:eastAsia="仿宋_GB2312" w:cs="仿宋_GB2312" w:hint="eastAsia"/>
          <w:sz w:val="32"/>
          <w:szCs w:val="32"/>
          <w:lang w:val="en-US" w:eastAsia="zh-CN"/>
        </w:rPr>
        <w:t>0</w:t>
      </w:r>
      <w:r>
        <w:rPr>
          <w:rFonts w:eastAsia="仿宋_GB2312" w:cs="仿宋_GB2312" w:hint="eastAsia"/>
          <w:sz w:val="32"/>
          <w:szCs w:val="32"/>
        </w:rPr>
        <w:t>辆、特种专业技术用车</w:t>
      </w:r>
      <w:r>
        <w:rPr>
          <w:rFonts w:eastAsia="仿宋_GB2312" w:cs="仿宋_GB2312" w:hint="eastAsia"/>
          <w:sz w:val="32"/>
          <w:szCs w:val="32"/>
          <w:lang w:val="en-US" w:eastAsia="zh-CN"/>
        </w:rPr>
        <w:t>0</w:t>
      </w:r>
      <w:r>
        <w:rPr>
          <w:rFonts w:eastAsia="仿宋_GB2312" w:cs="仿宋_GB2312" w:hint="eastAsia"/>
          <w:sz w:val="32"/>
          <w:szCs w:val="32"/>
        </w:rPr>
        <w:t>辆、离退休干部服务用车</w:t>
      </w:r>
      <w:r>
        <w:rPr>
          <w:rFonts w:eastAsia="仿宋_GB2312" w:cs="仿宋_GB2312" w:hint="eastAsia"/>
          <w:sz w:val="32"/>
          <w:szCs w:val="32"/>
          <w:lang w:val="en-US" w:eastAsia="zh-CN"/>
        </w:rPr>
        <w:t>0</w:t>
      </w:r>
      <w:r>
        <w:rPr>
          <w:rFonts w:eastAsia="仿宋_GB2312" w:cs="仿宋_GB2312" w:hint="eastAsia"/>
          <w:sz w:val="32"/>
          <w:szCs w:val="32"/>
        </w:rPr>
        <w:t>辆、其他用车</w:t>
      </w:r>
      <w:r>
        <w:rPr>
          <w:rFonts w:eastAsia="仿宋_GB2312" w:cs="仿宋_GB2312" w:hint="eastAsia"/>
          <w:sz w:val="32"/>
          <w:szCs w:val="32"/>
          <w:lang w:val="en-US" w:eastAsia="zh-CN"/>
        </w:rPr>
        <w:t>3</w:t>
      </w:r>
      <w:r>
        <w:rPr>
          <w:rFonts w:eastAsia="仿宋_GB2312" w:cs="仿宋_GB2312" w:hint="eastAsia"/>
          <w:sz w:val="32"/>
          <w:szCs w:val="32"/>
        </w:rPr>
        <w:t>辆，</w:t>
      </w:r>
      <w:r>
        <w:rPr>
          <w:rFonts w:ascii="仿宋_GB2312" w:eastAsia="仿宋_GB2312" w:cs="Times New Roman" w:hint="eastAsia"/>
          <w:color w:val="auto"/>
          <w:sz w:val="32"/>
          <w:szCs w:val="32"/>
          <w:lang w:val="en-US" w:eastAsia="zh-CN"/>
          <w:highlight w:val="auto"/>
        </w:rPr>
        <w:t>其他用车主要是用于军队离退休干部和保障过往部队饮食供应采购需求及工作开展。</w:t>
      </w:r>
      <w:r>
        <w:rPr>
          <w:rFonts w:ascii="仿宋_GB2312" w:eastAsia="仿宋_GB2312" w:hint="eastAsia"/>
          <w:color w:val="auto"/>
          <w:sz w:val="32"/>
          <w:szCs w:val="32"/>
          <w:highlight w:val="auto"/>
        </w:rPr>
        <w:t>单价</w:t>
      </w:r>
      <w:r>
        <w:rPr>
          <w:rFonts w:ascii="仿宋_GB2312" w:eastAsia="仿宋_GB2312"/>
          <w:color w:val="auto"/>
          <w:sz w:val="32"/>
          <w:szCs w:val="32"/>
          <w:highlight w:val="auto"/>
        </w:rPr>
        <w:t>100</w:t>
      </w:r>
      <w:r>
        <w:rPr>
          <w:rFonts w:ascii="仿宋_GB2312" w:eastAsia="仿宋_GB2312" w:hint="eastAsia"/>
          <w:color w:val="auto"/>
          <w:sz w:val="32"/>
          <w:szCs w:val="32"/>
          <w:highlight w:val="auto"/>
        </w:rPr>
        <w:t>万元以上设备</w:t>
      </w:r>
      <w:r>
        <w:rPr>
          <w:rFonts w:ascii="仿宋_GB2312" w:eastAsia="仿宋_GB2312" w:hint="eastAsia"/>
          <w:color w:val="auto"/>
          <w:sz w:val="32"/>
          <w:szCs w:val="32"/>
          <w:lang w:eastAsia="zh-CN"/>
          <w:highlight w:val="auto"/>
        </w:rPr>
        <w:t>（不含车辆）</w:t>
      </w:r>
      <w:r>
        <w:rPr>
          <w:rFonts w:ascii="仿宋_GB2312" w:eastAsia="仿宋_GB2312" w:hint="eastAsia"/>
          <w:color w:val="auto"/>
          <w:sz w:val="32"/>
          <w:szCs w:val="32"/>
          <w:lang w:val="en-US" w:eastAsia="zh-CN"/>
          <w:highlight w:val="auto"/>
        </w:rPr>
        <w:t>0</w:t>
      </w:r>
      <w:r>
        <w:rPr>
          <w:rFonts w:ascii="仿宋_GB2312" w:eastAsia="仿宋_GB2312" w:hint="eastAsia"/>
          <w:color w:val="auto"/>
          <w:sz w:val="32"/>
          <w:szCs w:val="32"/>
          <w:highlight w:val="auto"/>
        </w:rPr>
        <w:t>台（套）。</w:t>
      </w:r>
    </w:p>
    <w:p>
      <w:pPr>
        <w:spacing w:line="600" w:lineRule="exact"/>
        <w:outlineLvl w:val="2"/>
        <w:rPr>
          <w:rFonts w:eastAsia="楷体_GB2312" w:cs="楷体_GB2312"/>
          <w:b/>
          <w:sz w:val="32"/>
          <w:szCs w:val="32"/>
        </w:rPr>
      </w:pPr>
      <w:r>
        <w:rPr>
          <w:rFonts w:eastAsia="楷体_GB2312" w:cs="楷体_GB2312" w:hint="eastAsia"/>
          <w:b/>
          <w:sz w:val="32"/>
          <w:szCs w:val="32"/>
        </w:rPr>
        <w:t>（四）预算绩效管理情况</w:t>
      </w:r>
    </w:p>
    <w:p>
      <w:pPr>
        <w:adjustRightInd w:val="0"/>
        <w:snapToGrid w:val="0"/>
        <w:spacing w:line="600" w:lineRule="exact"/>
        <w:ind w:firstLineChars="100" w:firstLine="320"/>
        <w:rPr>
          <w:rFonts w:eastAsia="仿宋_GB2312" w:cs="仿宋_GB2312" w:hint="eastAsia"/>
          <w:sz w:val="32"/>
          <w:szCs w:val="32"/>
          <w:lang w:val="en-US" w:eastAsia="zh-CN"/>
        </w:rPr>
      </w:pPr>
      <w:r>
        <w:rPr>
          <w:rFonts w:eastAsia="仿宋_GB2312" w:cs="仿宋_GB2312" w:hint="eastAsia"/>
          <w:sz w:val="32"/>
          <w:szCs w:val="32"/>
          <w:lang w:val="en-US" w:eastAsia="zh-CN"/>
        </w:rPr>
        <w:t>根据预算绩效管理要求，市退役军人事务局在2025年度，组织对驻攀部队随军随队配偶自谋职业一次性经济补助及未就业期间生活补助、军分区安保勤务人员经费、 双拥慰问经费等</w:t>
      </w:r>
      <w:r>
        <w:rPr>
          <w:rFonts w:eastAsia="仿宋_GB2312" w:cs="仿宋_GB2312"/>
          <w:sz w:val="32"/>
          <w:szCs w:val="32"/>
          <w:lang w:eastAsia="zh-CN"/>
        </w:rPr>
        <w:t>21</w:t>
      </w:r>
      <w:r>
        <w:rPr>
          <w:rFonts w:eastAsia="仿宋_GB2312" w:cs="仿宋_GB2312" w:hint="eastAsia"/>
          <w:sz w:val="32"/>
          <w:szCs w:val="32"/>
          <w:lang w:val="en-US" w:eastAsia="zh-CN"/>
        </w:rPr>
        <w:t>个项目涉及金额</w:t>
      </w:r>
      <w:r>
        <w:rPr>
          <w:rFonts w:eastAsia="仿宋_GB2312" w:cs="仿宋_GB2312"/>
          <w:sz w:val="32"/>
          <w:szCs w:val="32"/>
          <w:lang w:eastAsia="zh-CN"/>
        </w:rPr>
        <w:t>3,790.26</w:t>
      </w:r>
      <w:r>
        <w:rPr>
          <w:rFonts w:eastAsia="仿宋_GB2312" w:cs="仿宋_GB2312" w:hint="eastAsia"/>
          <w:sz w:val="32"/>
          <w:szCs w:val="32"/>
          <w:lang w:val="en-US" w:eastAsia="zh-CN"/>
        </w:rPr>
        <w:t>万元开展了事前绩效评估，对</w:t>
      </w:r>
      <w:r>
        <w:rPr>
          <w:rFonts w:eastAsia="仿宋_GB2312" w:cs="仿宋_GB2312"/>
          <w:sz w:val="32"/>
          <w:szCs w:val="32"/>
          <w:lang w:eastAsia="zh-CN"/>
        </w:rPr>
        <w:t>21</w:t>
      </w:r>
      <w:r>
        <w:rPr>
          <w:rFonts w:eastAsia="仿宋_GB2312" w:cs="仿宋_GB2312" w:hint="eastAsia"/>
          <w:sz w:val="32"/>
          <w:szCs w:val="32"/>
          <w:lang w:val="en-US" w:eastAsia="zh-CN"/>
        </w:rPr>
        <w:t>个项目编制了绩效目标，预算执行过程中，选取</w:t>
      </w:r>
      <w:r>
        <w:rPr>
          <w:rFonts w:eastAsia="仿宋_GB2312" w:cs="仿宋_GB2312"/>
          <w:sz w:val="32"/>
          <w:szCs w:val="32"/>
          <w:lang w:eastAsia="zh-CN"/>
        </w:rPr>
        <w:t>11</w:t>
      </w:r>
      <w:r>
        <w:rPr>
          <w:rFonts w:eastAsia="仿宋_GB2312" w:cs="仿宋_GB2312" w:hint="eastAsia"/>
          <w:sz w:val="32"/>
          <w:szCs w:val="32"/>
          <w:lang w:val="en-US" w:eastAsia="zh-CN"/>
        </w:rPr>
        <w:t>个项目开展绩效监控。</w:t>
      </w:r>
    </w:p>
    <w:p>
      <w:pPr>
        <w:adjustRightInd w:val="0"/>
        <w:snapToGrid w:val="0"/>
        <w:spacing w:line="600" w:lineRule="exact"/>
        <w:ind w:firstLineChars="100" w:firstLine="320"/>
        <w:rPr>
          <w:rFonts w:ascii="仿宋_GB2312" w:eastAsia="仿宋_GB2312" w:cs="仿宋_GB2312" w:hint="eastAsia"/>
          <w:color w:val="auto"/>
          <w:sz w:val="32"/>
          <w:szCs w:val="32"/>
          <w:lang w:val="zh-CN" w:eastAsia="zh-CN"/>
          <w:highlight w:val="auto"/>
        </w:rPr>
      </w:pPr>
      <w:r>
        <w:rPr>
          <w:rFonts w:eastAsia="仿宋_GB2312" w:cs="仿宋_GB2312" w:hint="eastAsia"/>
          <w:sz w:val="32"/>
          <w:szCs w:val="32"/>
        </w:rPr>
        <w:t>组织对2025年度一般公共预算、政府性基金预算、国有资本经营预算、社会保险基金预算以及资本资产、债券资金等全面开展绩效自评，形成</w:t>
      </w:r>
      <w:r>
        <w:rPr>
          <w:rFonts w:eastAsia="仿宋_GB2312" w:cs="仿宋_GB2312" w:hint="eastAsia"/>
          <w:sz w:val="32"/>
          <w:szCs w:val="32"/>
          <w:lang w:eastAsia="zh-CN"/>
        </w:rPr>
        <w:t>市退役军人事务局</w:t>
      </w:r>
      <w:r>
        <w:rPr>
          <w:rFonts w:eastAsia="仿宋_GB2312" w:cs="仿宋_GB2312" w:hint="eastAsia"/>
          <w:sz w:val="32"/>
          <w:szCs w:val="32"/>
        </w:rPr>
        <w:t>部门预算（含部门预算项目）绩效自评报告、</w:t>
      </w:r>
      <w:r>
        <w:rPr>
          <w:rFonts w:ascii="仿宋_GB2312" w:eastAsia="仿宋_GB2312" w:cs="仿宋_GB2312" w:hint="eastAsia"/>
          <w:color w:val="auto"/>
          <w:sz w:val="32"/>
          <w:szCs w:val="32"/>
          <w:lang w:val="en-US" w:eastAsia="zh-CN"/>
          <w:highlight w:val="auto"/>
        </w:rPr>
        <w:t>随军随队配偶自谋职业一次性经济补助及未就业期间生活补助、双拥慰问经费、攀枝花军分区聘用安保勤务人员相关经费</w:t>
      </w:r>
      <w:r>
        <w:rPr>
          <w:rFonts w:eastAsia="仿宋_GB2312" w:cs="仿宋_GB2312" w:hint="eastAsia"/>
          <w:sz w:val="32"/>
          <w:szCs w:val="32"/>
        </w:rPr>
        <w:t>等专项预算项目绩效自评报告，其中，</w:t>
      </w:r>
      <w:r>
        <w:rPr>
          <w:rFonts w:ascii="仿宋_GB2312" w:eastAsia="仿宋_GB2312" w:cs="仿宋_GB2312" w:hint="eastAsia"/>
          <w:color w:val="auto"/>
          <w:sz w:val="32"/>
          <w:szCs w:val="32"/>
          <w:lang w:val="en-US" w:eastAsia="zh-CN"/>
          <w:highlight w:val="auto"/>
        </w:rPr>
        <w:t>市退役军人事务部门整体</w:t>
      </w:r>
      <w:r>
        <w:rPr>
          <w:rFonts w:ascii="仿宋_GB2312" w:eastAsia="仿宋_GB2312" w:cs="仿宋_GB2312" w:hint="eastAsia"/>
          <w:color w:val="auto"/>
          <w:sz w:val="32"/>
          <w:szCs w:val="32"/>
          <w:lang w:eastAsia="zh-CN"/>
          <w:highlight w:val="auto"/>
        </w:rPr>
        <w:t>（含部门预算项目）</w:t>
      </w:r>
      <w:r>
        <w:rPr>
          <w:rFonts w:ascii="仿宋_GB2312" w:eastAsia="仿宋_GB2312" w:cs="仿宋_GB2312" w:hint="eastAsia"/>
          <w:color w:val="auto"/>
          <w:sz w:val="32"/>
          <w:szCs w:val="32"/>
          <w:lang w:val="en-US" w:eastAsia="zh-CN"/>
          <w:highlight w:val="auto"/>
        </w:rPr>
        <w:t>绩效自评得分为91分，绩效自评综述：我局结合实际情况，客观公正地根据预算部门整体支出管理绩效项目进行综合评价，部门整体支出绩效总体较好。对财政资金的使用能够严格按照行政单位会计制度及财政相关规定执行。2025年度，攀枝花市退役军人事务系统深入贯彻习近平总书记关于退役军人工作重要论述，认真落实退役军人事务厅和市委、市政府决策部署，坚持以学习宣传贯彻党的二十大和二十届三中全会精神为主线，以推动退役军人工作高质量发展为主题，真抓实干、攻坚克难，各项工作迈出新步伐，取得新成效。</w:t>
      </w:r>
    </w:p>
    <w:p>
      <w:pPr>
        <w:spacing w:line="580" w:lineRule="exact"/>
        <w:ind w:firstLineChars="200" w:firstLine="640"/>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信息系统维护费</w:t>
      </w:r>
      <w:r>
        <w:rPr>
          <w:rFonts w:ascii="仿宋_GB2312" w:eastAsia="仿宋_GB2312" w:cs="仿宋_GB2312" w:hint="eastAsia"/>
          <w:color w:val="auto"/>
          <w:sz w:val="32"/>
          <w:szCs w:val="32"/>
          <w:lang w:eastAsia="zh-CN"/>
          <w:highlight w:val="auto"/>
        </w:rPr>
        <w:t>专项预</w:t>
      </w:r>
      <w:r>
        <w:rPr>
          <w:rFonts w:ascii="仿宋_GB2312" w:eastAsia="仿宋_GB2312" w:cs="仿宋_GB2312" w:hint="eastAsia"/>
          <w:color w:val="auto"/>
          <w:sz w:val="32"/>
          <w:szCs w:val="32"/>
          <w:lang w:val="en-US" w:eastAsia="zh-CN"/>
          <w:highlight w:val="auto"/>
        </w:rPr>
        <w:t>算项目绩效自评得分为9</w:t>
      </w:r>
      <w:r>
        <w:rPr>
          <w:rFonts w:ascii="仿宋_GB2312" w:eastAsia="仿宋_GB2312" w:cs="仿宋_GB2312"/>
          <w:color w:val="auto"/>
          <w:sz w:val="32"/>
          <w:szCs w:val="32"/>
          <w:lang w:eastAsia="zh-CN"/>
          <w:highlight w:val="auto"/>
        </w:rPr>
        <w:t>0</w:t>
      </w:r>
      <w:r>
        <w:rPr>
          <w:rFonts w:ascii="仿宋_GB2312" w:eastAsia="仿宋_GB2312" w:cs="仿宋_GB2312" w:hint="eastAsia"/>
          <w:color w:val="auto"/>
          <w:sz w:val="32"/>
          <w:szCs w:val="32"/>
          <w:lang w:val="en-US" w:eastAsia="zh-CN"/>
          <w:highlight w:val="auto"/>
        </w:rPr>
        <w:t>分，绩效自评综述：项目实施后，系统运行效率大幅提升，故障率明显降低，有效提升了政务服务效率，为部门高效办公提供了有力支撑。</w:t>
      </w:r>
    </w:p>
    <w:p>
      <w:pPr>
        <w:spacing w:line="580" w:lineRule="exact"/>
        <w:ind w:firstLineChars="200" w:firstLine="640"/>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关工委工作经费</w:t>
      </w:r>
      <w:r>
        <w:rPr>
          <w:rFonts w:ascii="仿宋_GB2312" w:eastAsia="仿宋_GB2312" w:cs="仿宋_GB2312" w:hint="eastAsia"/>
          <w:color w:val="auto"/>
          <w:sz w:val="32"/>
          <w:szCs w:val="32"/>
          <w:lang w:eastAsia="zh-CN"/>
          <w:highlight w:val="auto"/>
        </w:rPr>
        <w:t>专项预</w:t>
      </w:r>
      <w:r>
        <w:rPr>
          <w:rFonts w:ascii="仿宋_GB2312" w:eastAsia="仿宋_GB2312" w:cs="仿宋_GB2312" w:hint="eastAsia"/>
          <w:color w:val="auto"/>
          <w:sz w:val="32"/>
          <w:szCs w:val="32"/>
          <w:lang w:val="en-US" w:eastAsia="zh-CN"/>
          <w:highlight w:val="auto"/>
        </w:rPr>
        <w:t>算项目绩效自评得分为9</w:t>
      </w:r>
      <w:r>
        <w:rPr>
          <w:rFonts w:ascii="仿宋_GB2312" w:eastAsia="仿宋_GB2312" w:cs="仿宋_GB2312"/>
          <w:color w:val="auto"/>
          <w:sz w:val="32"/>
          <w:szCs w:val="32"/>
          <w:lang w:eastAsia="zh-CN"/>
          <w:highlight w:val="auto"/>
        </w:rPr>
        <w:t>1</w:t>
      </w:r>
      <w:r>
        <w:rPr>
          <w:rFonts w:ascii="仿宋_GB2312" w:eastAsia="仿宋_GB2312" w:cs="仿宋_GB2312" w:hint="eastAsia"/>
          <w:color w:val="auto"/>
          <w:sz w:val="32"/>
          <w:szCs w:val="32"/>
          <w:lang w:val="en-US" w:eastAsia="zh-CN"/>
          <w:highlight w:val="auto"/>
        </w:rPr>
        <w:t>分，绩效自评综述：经费使用总体合理，基本保障了青少年关爱教育、主题活动及工作的开展。经费主要用于支持青少年思想道德教育、技能培训、关爱帮扶等项目，取得了一定成效。</w:t>
      </w:r>
    </w:p>
    <w:p>
      <w:pPr>
        <w:spacing w:line="580" w:lineRule="exact"/>
        <w:ind w:firstLineChars="200" w:firstLine="640"/>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驻攀部队随军随队配偶自谋职业一次性经济补助及未就业期间生活补助</w:t>
      </w:r>
      <w:r>
        <w:rPr>
          <w:rFonts w:ascii="仿宋_GB2312" w:eastAsia="仿宋_GB2312" w:cs="仿宋_GB2312" w:hint="eastAsia"/>
          <w:color w:val="auto"/>
          <w:sz w:val="32"/>
          <w:szCs w:val="32"/>
          <w:lang w:eastAsia="zh-CN"/>
          <w:highlight w:val="auto"/>
        </w:rPr>
        <w:t>专项预</w:t>
      </w:r>
      <w:r>
        <w:rPr>
          <w:rFonts w:ascii="仿宋_GB2312" w:eastAsia="仿宋_GB2312" w:cs="仿宋_GB2312" w:hint="eastAsia"/>
          <w:color w:val="auto"/>
          <w:sz w:val="32"/>
          <w:szCs w:val="32"/>
          <w:lang w:val="en-US" w:eastAsia="zh-CN"/>
          <w:highlight w:val="auto"/>
        </w:rPr>
        <w:t>算项目绩效自评得分为9</w:t>
      </w:r>
      <w:r>
        <w:rPr>
          <w:rFonts w:ascii="仿宋_GB2312" w:eastAsia="仿宋_GB2312" w:cs="仿宋_GB2312"/>
          <w:color w:val="auto"/>
          <w:sz w:val="32"/>
          <w:szCs w:val="32"/>
          <w:lang w:eastAsia="zh-CN"/>
          <w:highlight w:val="auto"/>
        </w:rPr>
        <w:t>0</w:t>
      </w:r>
      <w:r>
        <w:rPr>
          <w:rFonts w:ascii="仿宋_GB2312" w:eastAsia="仿宋_GB2312" w:cs="仿宋_GB2312" w:hint="eastAsia"/>
          <w:color w:val="auto"/>
          <w:sz w:val="32"/>
          <w:szCs w:val="32"/>
          <w:lang w:val="en-US" w:eastAsia="zh-CN"/>
          <w:highlight w:val="auto"/>
        </w:rPr>
        <w:t>分，绩效自评综述：通过发放随军随队配偶自谋职业一次性经济补助及未就业期间生活补助，解决了驻攀部队随军随队军人配偶自谋职业或未就业期间生活困难问题，促进了军队稳定，充分发挥了驻攀部队干部在社会发展中的生力军作用，营造了浓厚的双拥氛围。</w:t>
      </w:r>
    </w:p>
    <w:p>
      <w:pPr>
        <w:spacing w:line="580" w:lineRule="exact"/>
        <w:ind w:firstLineChars="200" w:firstLine="640"/>
        <w:rPr>
          <w:rFonts w:ascii="仿宋_GB2312" w:eastAsia="仿宋_GB2312" w:cs="仿宋_GB2312"/>
          <w:color w:val="auto"/>
          <w:sz w:val="32"/>
          <w:szCs w:val="32"/>
          <w:lang w:val="en-US"/>
          <w:highlight w:val="auto"/>
        </w:rPr>
      </w:pPr>
      <w:r>
        <w:rPr>
          <w:rFonts w:ascii="仿宋_GB2312" w:eastAsia="仿宋_GB2312" w:cs="仿宋_GB2312" w:hint="eastAsia"/>
          <w:color w:val="auto"/>
          <w:sz w:val="32"/>
          <w:szCs w:val="32"/>
          <w:lang w:val="en-US" w:eastAsia="zh-CN"/>
          <w:highlight w:val="auto"/>
        </w:rPr>
        <w:t>向上争取资金工作经费</w:t>
      </w:r>
      <w:r>
        <w:rPr>
          <w:rFonts w:ascii="仿宋_GB2312" w:eastAsia="仿宋_GB2312" w:cs="仿宋_GB2312" w:hint="eastAsia"/>
          <w:color w:val="auto"/>
          <w:sz w:val="32"/>
          <w:szCs w:val="32"/>
          <w:lang w:eastAsia="zh-CN"/>
          <w:highlight w:val="auto"/>
        </w:rPr>
        <w:t>专项预</w:t>
      </w:r>
      <w:r>
        <w:rPr>
          <w:rFonts w:ascii="仿宋_GB2312" w:eastAsia="仿宋_GB2312" w:cs="仿宋_GB2312" w:hint="eastAsia"/>
          <w:color w:val="auto"/>
          <w:sz w:val="32"/>
          <w:szCs w:val="32"/>
          <w:lang w:val="en-US" w:eastAsia="zh-CN"/>
          <w:highlight w:val="auto"/>
        </w:rPr>
        <w:t>算项目绩效自评得分为</w:t>
      </w:r>
      <w:r>
        <w:rPr>
          <w:rFonts w:ascii="仿宋_GB2312" w:eastAsia="仿宋_GB2312" w:cs="仿宋_GB2312"/>
          <w:color w:val="auto"/>
          <w:sz w:val="32"/>
          <w:szCs w:val="32"/>
          <w:lang w:eastAsia="zh-CN"/>
          <w:highlight w:val="auto"/>
        </w:rPr>
        <w:t>90</w:t>
      </w:r>
      <w:r>
        <w:rPr>
          <w:rFonts w:ascii="仿宋_GB2312" w:eastAsia="仿宋_GB2312" w:cs="仿宋_GB2312" w:hint="eastAsia"/>
          <w:color w:val="auto"/>
          <w:sz w:val="32"/>
          <w:szCs w:val="32"/>
          <w:lang w:val="en-US" w:eastAsia="zh-CN"/>
          <w:highlight w:val="auto"/>
        </w:rPr>
        <w:t>分，绩效自评综述：</w:t>
      </w:r>
      <w:r>
        <w:rPr>
          <w:rFonts w:ascii="仿宋_GB2312" w:eastAsia="仿宋_GB2312" w:cs="仿宋_GB2312" w:hint="eastAsia"/>
          <w:color w:val="auto"/>
          <w:sz w:val="32"/>
          <w:szCs w:val="32"/>
          <w:lang w:eastAsia="zh-CN"/>
          <w:highlight w:val="auto"/>
        </w:rPr>
        <w:t>我市退役军人工作在上级部门的大力支持下，整体水平得到了有效提升</w:t>
      </w:r>
      <w:r>
        <w:rPr>
          <w:rFonts w:ascii="仿宋_GB2312" w:eastAsia="仿宋_GB2312" w:cs="仿宋_GB2312" w:hint="eastAsia"/>
          <w:color w:val="auto"/>
          <w:sz w:val="32"/>
          <w:szCs w:val="32"/>
          <w:lang w:val="en-US" w:eastAsia="zh-CN"/>
          <w:highlight w:val="auto"/>
        </w:rPr>
        <w:t>。</w:t>
      </w:r>
    </w:p>
    <w:p>
      <w:pPr>
        <w:spacing w:line="580" w:lineRule="exact"/>
        <w:ind w:firstLineChars="200" w:firstLine="640"/>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双拥慰问经费专项预算项目绩效自评得分为9</w:t>
      </w:r>
      <w:r>
        <w:rPr>
          <w:rFonts w:ascii="仿宋_GB2312" w:eastAsia="仿宋_GB2312" w:cs="仿宋_GB2312"/>
          <w:color w:val="auto"/>
          <w:sz w:val="32"/>
          <w:szCs w:val="32"/>
          <w:lang w:eastAsia="zh-CN"/>
          <w:highlight w:val="auto"/>
        </w:rPr>
        <w:t>1</w:t>
      </w:r>
      <w:r>
        <w:rPr>
          <w:rFonts w:ascii="仿宋_GB2312" w:eastAsia="仿宋_GB2312" w:cs="仿宋_GB2312" w:hint="eastAsia"/>
          <w:color w:val="auto"/>
          <w:sz w:val="32"/>
          <w:szCs w:val="32"/>
          <w:lang w:val="en-US" w:eastAsia="zh-CN"/>
          <w:highlight w:val="auto"/>
        </w:rPr>
        <w:t>分，绩效自评综述：通过开展双拥慰问活动，进一步密切了军政军民的血肉联系，持续巩固军地共建成果。体现我市党委、政府对双拥工作的重视，营造出了良好的双拥氛围。</w:t>
      </w:r>
    </w:p>
    <w:p>
      <w:pPr>
        <w:spacing w:line="580" w:lineRule="exact"/>
        <w:ind w:firstLineChars="200" w:firstLine="640"/>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攀枝花军分区聘用安保勤务人员相关经费专项预算项目绩效自评得分为9</w:t>
      </w:r>
      <w:r>
        <w:rPr>
          <w:rFonts w:ascii="仿宋_GB2312" w:eastAsia="仿宋_GB2312" w:cs="仿宋_GB2312"/>
          <w:color w:val="auto"/>
          <w:sz w:val="32"/>
          <w:szCs w:val="32"/>
          <w:lang w:eastAsia="zh-CN"/>
          <w:highlight w:val="auto"/>
        </w:rPr>
        <w:t>0</w:t>
      </w:r>
      <w:r>
        <w:rPr>
          <w:rFonts w:ascii="仿宋_GB2312" w:eastAsia="仿宋_GB2312" w:cs="仿宋_GB2312" w:hint="eastAsia"/>
          <w:color w:val="auto"/>
          <w:sz w:val="32"/>
          <w:szCs w:val="32"/>
          <w:lang w:val="en-US" w:eastAsia="zh-CN"/>
          <w:highlight w:val="auto"/>
        </w:rPr>
        <w:t>分，绩效自评综述：军分区聘用安保勤务人员的工作总体表现良好，达到了预期目标。安保人员在日常巡逻、门岗值守、应急处置等工作中认真负责，严格执行岗位职责，确保了军分区的安全秩序。通过定期培训和考核，安保人员的专业能力和应急反应能力得到了显著提升，能够有效应对各类突发事件，为军分区的后勤管理提供了有力保障。</w:t>
      </w:r>
    </w:p>
    <w:p>
      <w:pPr>
        <w:spacing w:line="580" w:lineRule="exact"/>
        <w:ind w:firstLineChars="200" w:firstLine="640"/>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参试人员体检经费专项预算项目绩效自评得分为89分，绩效自评综述：通过对全市享受定期生活补助的参试涉核人员进行免费常规身体检查，保障了他们的合法权益，促进了社会稳定。</w:t>
      </w:r>
    </w:p>
    <w:p>
      <w:pPr>
        <w:spacing w:line="580" w:lineRule="exact"/>
        <w:ind w:firstLineChars="200" w:firstLine="640"/>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武警攀枝花支队军史长廊改造经费绩效自评得分为</w:t>
      </w:r>
      <w:r>
        <w:rPr>
          <w:rFonts w:ascii="仿宋_GB2312" w:eastAsia="仿宋_GB2312" w:cs="仿宋_GB2312"/>
          <w:color w:val="auto"/>
          <w:sz w:val="32"/>
          <w:szCs w:val="32"/>
          <w:lang w:eastAsia="zh-CN"/>
          <w:highlight w:val="auto"/>
        </w:rPr>
        <w:t>91</w:t>
      </w:r>
      <w:r>
        <w:rPr>
          <w:rFonts w:ascii="仿宋_GB2312" w:eastAsia="仿宋_GB2312" w:cs="仿宋_GB2312" w:hint="eastAsia"/>
          <w:color w:val="auto"/>
          <w:sz w:val="32"/>
          <w:szCs w:val="32"/>
          <w:lang w:val="en-US" w:eastAsia="zh-CN"/>
          <w:highlight w:val="auto"/>
        </w:rPr>
        <w:t>分，绩效自评综述：武警攀枝花支队军史长廊改造顺利完成，项目建设符合要求，进一步浓厚“双拥”氛围。</w:t>
      </w:r>
    </w:p>
    <w:p>
      <w:pPr>
        <w:adjustRightInd w:val="0"/>
        <w:snapToGrid w:val="0"/>
        <w:spacing w:line="600" w:lineRule="exact"/>
        <w:ind w:firstLine="720"/>
        <w:rPr>
          <w:rFonts w:ascii="Times New Roman" w:eastAsia="仿宋_GB2312" w:cs="Times New Roman" w:hAnsi="Times New Roman" w:hint="eastAsia"/>
          <w:bCs w:val="0"/>
          <w:kern w:val="0"/>
          <w:sz w:val="32"/>
          <w:szCs w:val="32"/>
          <w:lang w:val="en-US" w:eastAsia="zh-CN"/>
        </w:rPr>
      </w:pPr>
      <w:r>
        <w:rPr>
          <w:rFonts w:ascii="仿宋_GB2312" w:eastAsia="仿宋_GB2312" w:cs="仿宋_GB2312" w:hint="eastAsia"/>
          <w:color w:val="auto"/>
          <w:sz w:val="32"/>
          <w:szCs w:val="32"/>
          <w:lang w:val="en-US" w:eastAsia="zh-CN"/>
          <w:highlight w:val="auto"/>
        </w:rPr>
        <w:t>市级挂职干部补助经费绩效自评得分为</w:t>
      </w:r>
      <w:r>
        <w:rPr>
          <w:rFonts w:ascii="仿宋_GB2312" w:eastAsia="仿宋_GB2312" w:cs="仿宋_GB2312"/>
          <w:color w:val="auto"/>
          <w:sz w:val="32"/>
          <w:szCs w:val="32"/>
          <w:lang w:eastAsia="zh-CN"/>
          <w:highlight w:val="auto"/>
        </w:rPr>
        <w:t>95</w:t>
      </w:r>
      <w:r>
        <w:rPr>
          <w:rFonts w:ascii="仿宋_GB2312" w:eastAsia="仿宋_GB2312" w:cs="仿宋_GB2312" w:hint="eastAsia"/>
          <w:color w:val="auto"/>
          <w:sz w:val="32"/>
          <w:szCs w:val="32"/>
          <w:lang w:val="en-US" w:eastAsia="zh-CN"/>
          <w:highlight w:val="auto"/>
        </w:rPr>
        <w:t>分，绩效自评综述</w:t>
      </w:r>
      <w:r>
        <w:rPr>
          <w:rFonts w:ascii="仿宋_GB2312" w:eastAsia="仿宋_GB2312" w:cs="仿宋_GB2312"/>
          <w:color w:val="auto"/>
          <w:sz w:val="32"/>
          <w:szCs w:val="32"/>
          <w:lang w:eastAsia="zh-CN"/>
          <w:highlight w:val="auto"/>
        </w:rPr>
        <w:t>:</w:t>
      </w:r>
      <w:r>
        <w:rPr>
          <w:rFonts w:ascii="Times New Roman" w:eastAsia="仿宋_GB2312" w:cs="Times New Roman" w:hAnsi="Times New Roman" w:hint="eastAsia"/>
          <w:bCs w:val="0"/>
          <w:kern w:val="0"/>
          <w:sz w:val="32"/>
          <w:szCs w:val="32"/>
          <w:lang w:val="en-US" w:eastAsia="zh-CN"/>
        </w:rPr>
        <w:t>本项目</w:t>
      </w:r>
      <w:r>
        <w:rPr>
          <w:rFonts w:ascii="Times New Roman" w:eastAsia="仿宋_GB2312" w:cs="Times New Roman" w:hAnsi="Times New Roman" w:hint="eastAsia"/>
          <w:bCs w:val="0"/>
          <w:kern w:val="0"/>
          <w:sz w:val="32"/>
          <w:szCs w:val="32"/>
          <w:lang w:val="zh-CN" w:eastAsia="zh-CN"/>
        </w:rPr>
        <w:t>切实保障了驻村工作人员的合法权益，提升了驻村工作人员的工作积极性和主动性，稳定了驻村工作队伍。通过驻村工作人员开展帮扶工作，助力基层解决民生难题、提升治理水平、推动乡村振兴，拉近了干群关系，增强了群众的获得感、幸福感和安全感。</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仿宋_GB2312" w:cs="Times New Roman" w:hAnsi="Times New Roman" w:hint="eastAsia"/>
          <w:bCs w:val="0"/>
          <w:kern w:val="0"/>
          <w:sz w:val="32"/>
          <w:szCs w:val="32"/>
          <w:lang w:val="en-US" w:eastAsia="zh-CN"/>
        </w:rPr>
        <w:t>过往部队接待及伙食补贴</w:t>
      </w:r>
      <w:r>
        <w:rPr>
          <w:rFonts w:ascii="仿宋_GB2312" w:eastAsia="仿宋_GB2312" w:cs="仿宋_GB2312" w:hint="eastAsia"/>
          <w:color w:val="auto"/>
          <w:sz w:val="32"/>
          <w:szCs w:val="32"/>
          <w:lang w:val="en-US" w:eastAsia="zh-CN"/>
          <w:highlight w:val="auto"/>
        </w:rPr>
        <w:t>绩效自评得分为</w:t>
      </w:r>
      <w:r>
        <w:rPr>
          <w:rFonts w:ascii="仿宋_GB2312" w:eastAsia="仿宋_GB2312" w:cs="仿宋_GB2312"/>
          <w:color w:val="auto"/>
          <w:sz w:val="32"/>
          <w:szCs w:val="32"/>
          <w:lang w:eastAsia="zh-CN"/>
          <w:highlight w:val="auto"/>
        </w:rPr>
        <w:t>91</w:t>
      </w:r>
      <w:r>
        <w:rPr>
          <w:rFonts w:ascii="仿宋_GB2312" w:eastAsia="仿宋_GB2312" w:cs="仿宋_GB2312" w:hint="eastAsia"/>
          <w:color w:val="auto"/>
          <w:sz w:val="32"/>
          <w:szCs w:val="32"/>
          <w:lang w:val="en-US" w:eastAsia="zh-CN"/>
          <w:highlight w:val="auto"/>
        </w:rPr>
        <w:t>分，绩效自评综述</w:t>
      </w:r>
      <w:r>
        <w:rPr>
          <w:rFonts w:ascii="仿宋_GB2312" w:eastAsia="仿宋_GB2312" w:cs="仿宋_GB2312"/>
          <w:color w:val="auto"/>
          <w:sz w:val="32"/>
          <w:szCs w:val="32"/>
          <w:lang w:eastAsia="zh-CN"/>
          <w:highlight w:val="auto"/>
        </w:rPr>
        <w:t>:</w:t>
      </w:r>
      <w:r>
        <w:rPr>
          <w:rFonts w:ascii="仿宋_GB2312" w:eastAsia="仿宋_GB2312" w:cs="仿宋_GB2312" w:hint="eastAsia"/>
          <w:kern w:val="0"/>
          <w:sz w:val="32"/>
          <w:szCs w:val="32"/>
          <w:lang w:val="zh-CN" w:eastAsia="zh-CN" w:bidi="ar-SA"/>
        </w:rPr>
        <w:t>对过往部队官兵、入伍新兵、退伍老兵和支前民兵、民工等运输途中的军供保障工作，受到部队官兵一致高度称赞，充分发挥了双拥窗口模范作用，加强了军民团结，推进了军民融合深度发展。</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仿宋_GB2312" w:hint="eastAsia"/>
          <w:kern w:val="0"/>
          <w:sz w:val="32"/>
          <w:szCs w:val="32"/>
          <w:lang w:val="en-US" w:eastAsia="zh-CN" w:bidi="ar-SA"/>
        </w:rPr>
        <w:t>退役士兵适应性培训绩效自评得分为</w:t>
      </w:r>
      <w:r>
        <w:rPr>
          <w:rFonts w:ascii="仿宋_GB2312" w:eastAsia="仿宋_GB2312" w:cs="仿宋_GB2312"/>
          <w:kern w:val="0"/>
          <w:sz w:val="32"/>
          <w:szCs w:val="32"/>
          <w:lang w:eastAsia="zh-CN" w:bidi="ar-SA"/>
        </w:rPr>
        <w:t>89</w:t>
      </w:r>
      <w:r>
        <w:rPr>
          <w:rFonts w:ascii="仿宋_GB2312" w:eastAsia="仿宋_GB2312" w:cs="仿宋_GB2312" w:hint="eastAsia"/>
          <w:kern w:val="0"/>
          <w:sz w:val="32"/>
          <w:szCs w:val="32"/>
          <w:lang w:val="en-US" w:eastAsia="zh-CN" w:bidi="ar-SA"/>
        </w:rPr>
        <w:t>分，绩效自评综述</w:t>
      </w:r>
      <w:r>
        <w:rPr>
          <w:rFonts w:ascii="仿宋_GB2312" w:eastAsia="仿宋_GB2312" w:cs="仿宋_GB2312"/>
          <w:kern w:val="0"/>
          <w:sz w:val="32"/>
          <w:szCs w:val="32"/>
          <w:lang w:eastAsia="zh-CN" w:bidi="ar-SA"/>
        </w:rPr>
        <w:t>:</w:t>
      </w:r>
      <w:r>
        <w:rPr>
          <w:rFonts w:ascii="仿宋_GB2312" w:eastAsia="仿宋_GB2312" w:cs="仿宋_GB2312" w:hint="eastAsia"/>
          <w:kern w:val="0"/>
          <w:sz w:val="32"/>
          <w:szCs w:val="32"/>
          <w:lang w:eastAsia="zh-CN" w:bidi="ar-SA"/>
        </w:rPr>
        <w:t>本</w:t>
      </w:r>
      <w:r>
        <w:rPr>
          <w:rFonts w:ascii="仿宋_GB2312" w:eastAsia="仿宋_GB2312" w:cs="Times New Roman" w:hint="eastAsia"/>
          <w:sz w:val="32"/>
          <w:szCs w:val="32"/>
          <w:lang w:val="zh-CN" w:eastAsia="zh-CN" w:bidi="ar-SA"/>
        </w:rPr>
        <w:t>培训设置了实用性、针对性较强的课程，既有国防动员、乡村振兴、职业生涯规划、心理调适、退役安置政策、实地参观等内容的学习。帮助退役士兵缓解过渡期容易出现的迷茫、焦虑、缺乏自信等集体情绪，促进退役士兵迅速调整自我心态，跳出原有思维惯性，切换工作赛道，实现思想转变，以适应岗位需求。</w:t>
      </w:r>
    </w:p>
    <w:p>
      <w:pPr>
        <w:spacing w:line="600" w:lineRule="exact"/>
        <w:ind w:firstLine="640"/>
        <w:rPr>
          <w:rFonts w:eastAsia="仿宋_GB2312" w:cs="仿宋_GB2312" w:hint="eastAsia"/>
          <w:sz w:val="32"/>
          <w:szCs w:val="32"/>
        </w:rPr>
      </w:pPr>
      <w:r>
        <w:rPr>
          <w:rFonts w:eastAsia="仿宋_GB2312" w:cs="仿宋_GB2312" w:hint="eastAsia"/>
          <w:sz w:val="32"/>
          <w:szCs w:val="32"/>
        </w:rPr>
        <w:t>绩效自评报告详见附件。</w:t>
      </w:r>
    </w:p>
    <w:p>
      <w:pPr>
        <w:pStyle w:val="16"/>
      </w:pPr>
    </w:p>
    <w:p>
      <w:pPr>
        <w:pStyle w:val="1"/>
        <w:bidi w:val="0"/>
        <w:jc w:val="center"/>
      </w:pPr>
      <w:bookmarkStart w:id="93" w:name="_Toc15377225"/>
      <w:bookmarkStart w:id="94" w:name="_Toc15396613"/>
      <w:bookmarkStart w:id="95" w:name="_Toc136340519_WPSOffice_Level1"/>
      <w:r>
        <w:rPr>
          <w:rFonts w:hint="eastAsia"/>
        </w:rPr>
        <w:t>第三部分  名词解释</w:t>
      </w:r>
      <w:bookmarkEnd w:id="93"/>
      <w:bookmarkEnd w:id="94"/>
      <w:bookmarkEnd w:id="95"/>
    </w:p>
    <w:p>
      <w:pPr>
        <w:spacing w:line="600" w:lineRule="exact"/>
        <w:jc w:val="left"/>
        <w:rPr>
          <w:b/>
          <w:sz w:val="44"/>
          <w:szCs w:val="44"/>
        </w:rPr>
      </w:pP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bookmarkStart w:id="96" w:name="_Toc17060"/>
      <w:bookmarkStart w:id="97" w:name="_Toc4065"/>
      <w:bookmarkStart w:id="98" w:name="_Toc6628"/>
      <w:bookmarkStart w:id="99" w:name="_Toc18943"/>
      <w:bookmarkStart w:id="100" w:name="_Toc15377226"/>
      <w:r>
        <w:rPr>
          <w:rFonts w:ascii="仿宋_GB2312" w:eastAsia="仿宋_GB2312" w:cs="Times New Roman" w:hint="eastAsia"/>
          <w:sz w:val="32"/>
          <w:szCs w:val="32"/>
          <w:lang w:val="en-US" w:eastAsia="zh-CN" w:bidi="ar-SA"/>
        </w:rPr>
        <w:t>1.财政拨款收入：指单位从同级财政部门取得的财政预算资金。</w:t>
      </w:r>
      <w:bookmarkEnd w:id="96"/>
      <w:bookmarkEnd w:id="97"/>
      <w:bookmarkEnd w:id="98"/>
      <w:bookmarkEnd w:id="99"/>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2.其他收入：指单位取得的除上述收入以外的各项收入。主要是指上级部门划拨的工作经费、利息收入、党建经费。</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3.年初结转和结余：指以前年度尚未完成、结转到本年按有关规定继续使用的资金。</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4.年末结转和结余：指单位按有关规定结转到下年或以后年度继续使用的资金。</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5.一般公共服务支出（类）组织事务（款）其他组织事务支出（项）:反映除上述项目以外其他用于中国共产党组织部门的事务支出。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6.社会保障和就业支出（类）行政事业单位离退休（款）  行政单位离退休（项）:反映行政单位（包括实行公务员管理的事业单位）开支的离退休经费。</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7.</w:t>
      </w:r>
      <w:bookmarkStart w:id="101" w:name="_Toc82073755"/>
      <w:r>
        <w:rPr>
          <w:rFonts w:ascii="仿宋_GB2312" w:eastAsia="仿宋_GB2312" w:cs="Times New Roman" w:hint="eastAsia"/>
          <w:sz w:val="32"/>
          <w:szCs w:val="32"/>
          <w:lang w:val="en-US" w:eastAsia="zh-CN" w:bidi="ar-SA"/>
        </w:rPr>
        <w:t>社会保障和就业支出（类）行政事业单位养老支出（款）事业单位离退休（项）:反映事业单位</w:t>
      </w:r>
      <w:bookmarkEnd w:id="101"/>
      <w:r>
        <w:rPr>
          <w:rFonts w:ascii="仿宋_GB2312" w:eastAsia="仿宋_GB2312" w:cs="Times New Roman" w:hint="eastAsia"/>
          <w:sz w:val="32"/>
          <w:szCs w:val="32"/>
          <w:lang w:val="en-US" w:eastAsia="zh-CN" w:bidi="ar-SA"/>
        </w:rPr>
        <w:t>开支的离退休经费。</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8.社会保障和就业支出（类）行政事业单位离退休（款）机关事业单位基本养老保险缴费支出（项）:反映机关事业单位基本养老保险缴费支出。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bookmarkStart w:id="102" w:name="_Toc82073757"/>
      <w:r>
        <w:rPr>
          <w:rFonts w:ascii="仿宋_GB2312" w:eastAsia="仿宋_GB2312" w:cs="Times New Roman" w:hint="eastAsia"/>
          <w:sz w:val="32"/>
          <w:szCs w:val="32"/>
          <w:lang w:val="en-US" w:eastAsia="zh-CN" w:bidi="ar-SA"/>
        </w:rPr>
        <w:t>9.社会保障和就业支出（类）抚恤（款）死亡抚恤（项）:反映</w:t>
      </w:r>
      <w:bookmarkEnd w:id="102"/>
      <w:r>
        <w:rPr>
          <w:rFonts w:ascii="仿宋_GB2312" w:eastAsia="仿宋_GB2312" w:cs="Times New Roman" w:hint="eastAsia"/>
          <w:sz w:val="32"/>
          <w:szCs w:val="32"/>
          <w:lang w:val="en-US" w:eastAsia="zh-CN" w:bidi="ar-SA"/>
        </w:rPr>
        <w:t>按规定用于烈士和牺牲、病故人员家属的一次性和定期抚恤金以及丧葬补助费。</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bookmarkStart w:id="103" w:name="_Toc82073758"/>
      <w:r>
        <w:rPr>
          <w:rFonts w:ascii="仿宋_GB2312" w:eastAsia="仿宋_GB2312" w:cs="Times New Roman" w:hint="eastAsia"/>
          <w:sz w:val="32"/>
          <w:szCs w:val="32"/>
          <w:lang w:val="en-US" w:eastAsia="zh-CN" w:bidi="ar-SA"/>
        </w:rPr>
        <w:t>10.社会保障和就业支出（类）退役安置（款）军队移交政府的离退休人员安置（项）:反映移交政府的军队离退休人员安置支出。</w:t>
      </w:r>
      <w:bookmarkEnd w:id="103"/>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bookmarkStart w:id="104" w:name="_Toc82073759"/>
      <w:r>
        <w:rPr>
          <w:rFonts w:ascii="仿宋_GB2312" w:eastAsia="仿宋_GB2312" w:cs="Times New Roman" w:hint="eastAsia"/>
          <w:sz w:val="32"/>
          <w:szCs w:val="32"/>
          <w:lang w:val="en-US" w:eastAsia="zh-CN" w:bidi="ar-SA"/>
        </w:rPr>
        <w:t>11.社会保障和就业支出（类）退役安置（款）军队移交政府离退休干部管理机构（项）:反映退役军人事务部门管理的军队移交政府安置的离退休干部管理机构列入事业编制的人员经费、公用经费以及管理机构用房建设经费等支出。</w:t>
      </w:r>
      <w:bookmarkEnd w:id="104"/>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12. 社会保障和就业（类）退役安置（款）退役士兵管理教育（项）：反映退役士兵职业教育、转业士官待分配期间管理教育、医疗支出等。</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13.社会保障和就业支出（类）退役安置（款）军队转业干部安置（项）:反映军转干部安置、人员经费、自主择业退役金等方面的支出。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14.社会保障和就业支出（类）退役安置（款）其他退役安置支出（项）:反映除上述项目以外其他用于退役安置方面的支出。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15.社会保障和就业支出（类）社会福利（款）儿童福利（项）:反映对儿童提供福利服务方面的支出。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16.社会保障和就业支出（类）退役军人管理事务（款） 行政运行（项）：反映行政单位(包括实行公务员管理的事业单位)的基本支出。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17.社会保障和就业支出（类）退役军人管理事务（款）一般行政管理事务（项）:反映行政单位(包括实行公务员管理的事业单位)未单独设置项级科目的其他项目支出。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18.社会保障和就业支出（类）退役军人管理事务（款）拥军优属（项）:反映开展拥军优属活动的支出。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19.社会保障和就业支出（类）退役军人管理事务（款）军供保障（项）:指军供站(兵站)等用于保障军队运输和饮食供应的支出。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20.社会保障和就业（类）退役军人管理事务（款）事业运行（项）：指事业单位的基本支出。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21.社会保障和就业支出（类）退役军人管理事务（款）其他退役军人事务管理支出（项）:反映除上述行政运行、一般行政管理事务、机关服务、拥军优属、部队供应、事业运行以外其他用于退役军人事务管理方面的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22.卫生健康支出（类）行政事业单位医疗（款）       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sz w:val="32"/>
          <w:szCs w:val="32"/>
          <w:lang w:val="en-US" w:eastAsia="zh-CN" w:bidi="ar-SA"/>
        </w:rPr>
      </w:pPr>
      <w:r>
        <w:rPr>
          <w:rFonts w:ascii="仿宋_GB2312" w:eastAsia="仿宋_GB2312" w:cs="Times New Roman" w:hint="eastAsia"/>
          <w:sz w:val="32"/>
          <w:szCs w:val="32"/>
          <w:lang w:val="en-US" w:eastAsia="zh-CN" w:bidi="ar-SA"/>
        </w:rPr>
        <w:t>23.卫生健康支出（类）行政事业单位医疗（款）       事业单位医疗（项）:反映财政部门安排的事业单位基本医疗保险缴费经费，未参加医疗保险的事业单位的公费医疗经费，按国家规定享受离休人员待遇的医疗经费。</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sz w:val="32"/>
          <w:szCs w:val="32"/>
          <w:lang w:val="en-US" w:eastAsia="zh-CN" w:bidi="ar-SA"/>
        </w:rPr>
      </w:pPr>
      <w:r>
        <w:rPr>
          <w:rFonts w:ascii="仿宋_GB2312" w:eastAsia="仿宋_GB2312" w:cs="Times New Roman" w:hint="eastAsia"/>
          <w:sz w:val="32"/>
          <w:szCs w:val="32"/>
          <w:lang w:val="en-US" w:eastAsia="zh-CN" w:bidi="ar-SA"/>
        </w:rPr>
        <w:t>24.卫生健康支出（类）行政事业单位医疗（款）       公务员医疗补助（项）:反映财政部门安排的公务员医疗补助经费。</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25.卫生健康支出（类）行政事业单位医疗（款）       其他行政事业单位医疗支出（项）:反映除上述项目以外的其他用于行政事业单位医疗方面的支出。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26.住房保障支出（类）住房改革支出（款）住房公积金（项）:反映行政事业单位用财政拨款资金和其他资金等安排的住房改革支出。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27.基本支出：指为保障机构正常运转、完成日常工作任务而发生的人员支出和公用支出。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 xml:space="preserve">28.项目支出：指在基本支出之外为完成特定行政任务和事业发展目标所发生的支出。 </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29.经营支出：指事业单位在专业业务活动及其辅助活动之外开展非独立核算经营活动发生的支出。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30.“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1Char"/>
          <w:rFonts w:eastAsia="黑体"/>
          <w:b w:val="0"/>
        </w:rPr>
      </w:pPr>
      <w:r>
        <w:rPr>
          <w:rFonts w:eastAsia="仿宋_GB2312" w:cs="仿宋_GB2312" w:hint="eastAsia"/>
          <w:sz w:val="32"/>
          <w:szCs w:val="32"/>
        </w:rPr>
        <w:br w:type="page"/>
      </w:r>
      <w:bookmarkStart w:id="105" w:name="_Toc15396614"/>
      <w:bookmarkStart w:id="106" w:name="_Toc1851460344_WPSOffice_Level1"/>
      <w:r>
        <w:rPr>
          <w:rStyle w:val="1Char"/>
          <w:rFonts w:hint="eastAsia"/>
        </w:rPr>
        <w:t>第四部分  附件</w:t>
      </w:r>
      <w:bookmarkEnd w:id="105"/>
      <w:bookmarkEnd w:id="106"/>
    </w:p>
    <w:p>
      <w:pPr>
        <w:pStyle w:val="26"/>
      </w:pPr>
    </w:p>
    <w:p>
      <w:pPr>
        <w:spacing w:line="572" w:lineRule="exact"/>
        <w:jc w:val="left"/>
        <w:outlineLvl w:val="0"/>
        <w:rPr>
          <w:rFonts w:eastAsia="黑体" w:cs="方正小标宋简体"/>
          <w:sz w:val="44"/>
          <w:szCs w:val="44"/>
        </w:rPr>
      </w:pPr>
      <w:r>
        <w:rPr>
          <w:rFonts w:eastAsia="黑体" w:cs="黑体" w:hint="eastAsia"/>
          <w:sz w:val="32"/>
          <w:szCs w:val="32"/>
        </w:rPr>
        <w:t>附件1</w:t>
      </w:r>
    </w:p>
    <w:p>
      <w:pPr>
        <w:widowControl/>
        <w:spacing w:line="578" w:lineRule="exact"/>
        <w:contextualSpacing/>
        <w:jc w:val="center"/>
        <w:rPr>
          <w:rFonts w:eastAsia="方正小标宋简体"/>
          <w:bCs/>
          <w:sz w:val="44"/>
          <w:szCs w:val="44"/>
          <w:shd w:val="clear" w:color="auto" w:fill="FFFFFF"/>
        </w:rPr>
      </w:pPr>
    </w:p>
    <w:p>
      <w:pPr>
        <w:widowControl/>
        <w:spacing w:line="578" w:lineRule="exact"/>
        <w:contextualSpacing/>
        <w:jc w:val="center"/>
        <w:rPr>
          <w:rFonts w:eastAsia="方正小标宋简体"/>
          <w:bCs/>
          <w:sz w:val="44"/>
          <w:szCs w:val="44"/>
          <w:shd w:val="clear" w:color="auto" w:fill="FFFFFF"/>
        </w:rPr>
      </w:pPr>
      <w:bookmarkStart w:id="107" w:name="_Toc556882021_WPSOffice_Level2"/>
      <w:bookmarkStart w:id="108" w:name="_Toc1741808599_WPSOffice_Level2"/>
      <w:bookmarkStart w:id="109" w:name="_Toc54667430_WPSOffice_Level2"/>
      <w:bookmarkStart w:id="110" w:name="_Toc1395862188_WPSOffice_Level2"/>
      <w:r>
        <w:rPr>
          <w:rFonts w:eastAsia="方正小标宋简体"/>
          <w:bCs/>
          <w:sz w:val="44"/>
          <w:szCs w:val="44"/>
          <w:shd w:val="clear" w:color="auto" w:fill="FFFFFF"/>
        </w:rPr>
        <w:t>部门预算绩效</w:t>
      </w:r>
      <w:r>
        <w:rPr>
          <w:rFonts w:eastAsia="方正小标宋简体" w:hint="eastAsia"/>
          <w:bCs/>
          <w:sz w:val="44"/>
          <w:szCs w:val="44"/>
          <w:shd w:val="clear" w:color="auto" w:fill="FFFFFF"/>
        </w:rPr>
        <w:t>评价</w:t>
      </w:r>
      <w:r>
        <w:rPr>
          <w:rFonts w:eastAsia="方正小标宋简体"/>
          <w:bCs/>
          <w:sz w:val="44"/>
          <w:szCs w:val="44"/>
          <w:shd w:val="clear" w:color="auto" w:fill="FFFFFF"/>
        </w:rPr>
        <w:t>报告</w:t>
      </w:r>
      <w:bookmarkEnd w:id="107"/>
      <w:bookmarkEnd w:id="108"/>
      <w:bookmarkEnd w:id="109"/>
      <w:bookmarkEnd w:id="110"/>
    </w:p>
    <w:p>
      <w:pPr>
        <w:widowControl/>
        <w:spacing w:line="578" w:lineRule="exact"/>
        <w:contextualSpacing/>
        <w:jc w:val="center"/>
        <w:rPr>
          <w:rFonts w:eastAsia="仿宋_GB2312"/>
          <w:sz w:val="32"/>
          <w:szCs w:val="32"/>
          <w:shd w:val="clear" w:color="auto" w:fill="FFFFFF"/>
        </w:rPr>
      </w:pPr>
      <w:r>
        <w:rPr>
          <w:rFonts w:eastAsia="仿宋_GB2312"/>
          <w:sz w:val="32"/>
          <w:szCs w:val="32"/>
          <w:shd w:val="clear" w:color="auto" w:fill="FFFFFF"/>
        </w:rPr>
        <w:t>（报告范围包括机关和下属单位）</w:t>
      </w:r>
    </w:p>
    <w:p>
      <w:pPr>
        <w:widowControl/>
        <w:adjustRightInd w:val="0"/>
        <w:snapToGrid w:val="0"/>
        <w:spacing w:line="578" w:lineRule="exact"/>
        <w:ind w:firstLineChars="200" w:firstLine="480"/>
        <w:contextualSpacing/>
        <w:jc w:val="left"/>
        <w:rPr>
          <w:rFonts w:eastAsia="黑体"/>
          <w:color w:val="000000"/>
          <w:kern w:val="0"/>
          <w:sz w:val="24"/>
          <w:szCs w:val="32"/>
          <w:shd w:val="clear" w:color="auto" w:fill="FFFFFF"/>
        </w:rPr>
      </w:pPr>
    </w:p>
    <w:p>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bookmarkStart w:id="111" w:name="_Toc1686951754_WPSOffice_Level2"/>
      <w:bookmarkStart w:id="112" w:name="_Toc785189482_WPSOffice_Level2"/>
      <w:bookmarkStart w:id="113" w:name="_Toc1134004708_WPSOffice_Level2"/>
      <w:bookmarkStart w:id="114" w:name="_Toc56249921_WPSOffice_Level2"/>
      <w:r>
        <w:rPr>
          <w:rFonts w:eastAsia="黑体" w:hint="eastAsia"/>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bookmarkEnd w:id="111"/>
      <w:bookmarkEnd w:id="112"/>
      <w:bookmarkEnd w:id="113"/>
      <w:bookmarkEnd w:id="114"/>
    </w:p>
    <w:p>
      <w:pPr>
        <w:spacing w:line="600" w:lineRule="exact"/>
        <w:ind w:firstLineChars="200" w:firstLine="640"/>
        <w:outlineLvl w:val="1"/>
        <w:rPr>
          <w:rFonts w:ascii="仿宋" w:eastAsia="仿宋"/>
          <w:sz w:val="32"/>
          <w:szCs w:val="32"/>
          <w:lang w:val="en-US" w:eastAsia="zh-CN"/>
        </w:rPr>
      </w:pPr>
      <w:r>
        <w:rPr>
          <w:rFonts w:eastAsia="楷体_GB2312" w:cs="楷体_GB2312" w:hint="eastAsia"/>
          <w:b/>
          <w:sz w:val="32"/>
          <w:szCs w:val="32"/>
          <w:lang w:val="zh-CN"/>
        </w:rPr>
        <w:t>（一）</w:t>
      </w:r>
      <w:r>
        <w:rPr>
          <w:rFonts w:eastAsia="楷体_GB2312" w:cs="楷体_GB2312"/>
          <w:b/>
          <w:sz w:val="32"/>
          <w:szCs w:val="32"/>
          <w:lang w:val="zh-CN"/>
        </w:rPr>
        <w:t>机构组成。</w:t>
      </w:r>
      <w:r>
        <w:rPr>
          <w:rFonts w:ascii="仿宋" w:eastAsia="仿宋" w:hint="eastAsia"/>
          <w:sz w:val="32"/>
          <w:szCs w:val="32"/>
          <w:lang w:val="en-US" w:eastAsia="zh-CN"/>
        </w:rPr>
        <w:t>市退役军人局内设办公室、安置与就业创业科、优抚与褒扬纪念科、权益维护科，双拥工作科共5个内设机构。下属独立核算事业单位3个，分别是：攀枝花市退役军人服务中心、攀枝花市离退休干部休养所、攀枝花市军供站。</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eastAsia="楷体_GB2312"/>
          <w:b/>
          <w:bCs/>
          <w:color w:val="000000"/>
          <w:kern w:val="0"/>
          <w:szCs w:val="32"/>
          <w:shd w:val="clear" w:color="auto" w:fill="FFFFFF"/>
          <w:lang w:val="zh-CN"/>
        </w:rPr>
      </w:pPr>
      <w:r>
        <w:rPr>
          <w:rFonts w:eastAsia="楷体_GB2312" w:cs="楷体_GB2312"/>
          <w:b/>
          <w:sz w:val="32"/>
          <w:szCs w:val="32"/>
          <w:lang w:val="zh-CN"/>
        </w:rPr>
        <w:t>（二）机构职能</w:t>
      </w:r>
      <w:r>
        <w:rPr>
          <w:rFonts w:eastAsia="楷体_GB2312" w:cs="楷体_GB2312" w:hint="eastAsia"/>
          <w:b/>
          <w:sz w:val="32"/>
          <w:szCs w:val="32"/>
          <w:lang w:val="zh-CN"/>
        </w:rPr>
        <w:t>。</w:t>
      </w:r>
      <w:r>
        <w:rPr>
          <w:rFonts w:ascii="仿宋" w:eastAsia="仿宋" w:hint="eastAsia"/>
          <w:sz w:val="32"/>
          <w:szCs w:val="32"/>
          <w:lang w:val="en-US" w:eastAsia="zh-CN"/>
        </w:rPr>
        <w:t xml:space="preserve">维护军人军属合法权益，加强退役军人服务保障体系建设，建立健全集中统一、职责清晰的退役军人管理保障体制。 </w:t>
      </w:r>
    </w:p>
    <w:p>
      <w:pPr>
        <w:widowControl/>
        <w:adjustRightInd w:val="0"/>
        <w:snapToGrid w:val="0"/>
        <w:spacing w:line="578" w:lineRule="exact"/>
        <w:ind w:firstLineChars="200" w:firstLine="640"/>
        <w:contextualSpacing/>
        <w:jc w:val="left"/>
        <w:rPr>
          <w:rFonts w:ascii="Times New Roman" w:eastAsia="仿宋_GB2312" w:cs="Times New Roman" w:hAnsi="Times New Roman" w:hint="eastAsia"/>
          <w:sz w:val="32"/>
          <w:szCs w:val="32"/>
          <w:lang w:val="en-US" w:eastAsia="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eastAsia="楷体_GB2312" w:hint="eastAsia"/>
          <w:b/>
          <w:bCs/>
          <w:color w:val="000000"/>
          <w:kern w:val="0"/>
          <w:sz w:val="32"/>
          <w:szCs w:val="32"/>
          <w:shd w:val="clear" w:color="auto" w:fill="FFFFFF"/>
          <w:lang w:val="zh-CN"/>
        </w:rPr>
        <w:t>。</w:t>
      </w:r>
      <w:r>
        <w:rPr>
          <w:rFonts w:ascii="Times New Roman" w:eastAsia="仿宋_GB2312" w:cs="Times New Roman" w:hAnsi="Times New Roman"/>
          <w:sz w:val="32"/>
          <w:szCs w:val="32"/>
          <w:lang w:val="en-US" w:eastAsia="zh-CN"/>
        </w:rPr>
        <w:t>截至202</w:t>
      </w:r>
      <w:r>
        <w:rPr>
          <w:rFonts w:eastAsia="仿宋_GB2312" w:cs="Times New Roman" w:hint="eastAsia"/>
          <w:sz w:val="32"/>
          <w:szCs w:val="32"/>
          <w:lang w:val="en-US" w:eastAsia="zh-CN"/>
        </w:rPr>
        <w:t>5</w:t>
      </w:r>
      <w:r>
        <w:rPr>
          <w:rFonts w:ascii="Times New Roman" w:eastAsia="仿宋_GB2312" w:cs="Times New Roman" w:hAnsi="Times New Roman"/>
          <w:sz w:val="32"/>
          <w:szCs w:val="32"/>
          <w:lang w:val="en-US" w:eastAsia="zh-CN"/>
        </w:rPr>
        <w:t>年末，</w:t>
      </w:r>
      <w:r>
        <w:rPr>
          <w:rFonts w:ascii="Times New Roman" w:eastAsia="仿宋_GB2312" w:cs="Times New Roman" w:hAnsi="Times New Roman" w:hint="eastAsia"/>
          <w:sz w:val="32"/>
          <w:szCs w:val="32"/>
          <w:lang w:val="en-US" w:eastAsia="zh-CN"/>
        </w:rPr>
        <w:t>市退役军人事务部门（单位）</w:t>
      </w:r>
      <w:r>
        <w:rPr>
          <w:rFonts w:ascii="Times New Roman" w:eastAsia="仿宋_GB2312" w:cs="Times New Roman" w:hAnsi="Times New Roman"/>
          <w:sz w:val="32"/>
          <w:szCs w:val="32"/>
          <w:lang w:val="en-US" w:eastAsia="zh-CN"/>
        </w:rPr>
        <w:t>及下属单位编制</w:t>
      </w:r>
      <w:r>
        <w:rPr>
          <w:rFonts w:ascii="仿宋" w:eastAsia="仿宋" w:hint="eastAsia"/>
          <w:color w:val="auto"/>
          <w:sz w:val="32"/>
          <w:szCs w:val="32"/>
          <w:lang w:val="en-US" w:eastAsia="zh-CN"/>
        </w:rPr>
        <w:t>编制49人，</w:t>
      </w:r>
      <w:r>
        <w:rPr>
          <w:rFonts w:ascii="Times New Roman" w:eastAsia="仿宋_GB2312" w:cs="Times New Roman" w:hAnsi="Times New Roman" w:hint="eastAsia"/>
          <w:sz w:val="32"/>
          <w:szCs w:val="32"/>
          <w:lang w:val="en-US" w:eastAsia="zh-CN"/>
        </w:rPr>
        <w:t>2025年在职人员总数</w:t>
      </w:r>
      <w:r>
        <w:rPr>
          <w:rFonts w:ascii="Times New Roman" w:eastAsia="仿宋_GB2312" w:cs="Times New Roman" w:hAnsi="Times New Roman"/>
          <w:sz w:val="32"/>
          <w:szCs w:val="32"/>
          <w:lang w:eastAsia="zh-CN"/>
        </w:rPr>
        <w:t>4</w:t>
      </w:r>
      <w:r>
        <w:rPr>
          <w:rFonts w:ascii="Times New Roman" w:eastAsia="仿宋_GB2312" w:cs="Times New Roman" w:hAnsi="Times New Roman" w:hint="eastAsia"/>
          <w:sz w:val="32"/>
          <w:szCs w:val="32"/>
          <w:lang w:val="en-US" w:eastAsia="zh-CN"/>
        </w:rPr>
        <w:t>9人，其中：行政人员13人，机关工勤人员2人;非参公事业人员3</w:t>
      </w:r>
      <w:r>
        <w:rPr>
          <w:rFonts w:ascii="Times New Roman" w:eastAsia="仿宋_GB2312" w:cs="Times New Roman" w:hAnsi="Times New Roman"/>
          <w:sz w:val="32"/>
          <w:szCs w:val="32"/>
          <w:lang w:eastAsia="zh-CN"/>
        </w:rPr>
        <w:t>4</w:t>
      </w:r>
      <w:r>
        <w:rPr>
          <w:rFonts w:ascii="Times New Roman" w:eastAsia="仿宋_GB2312" w:cs="Times New Roman" w:hAnsi="Times New Roman" w:hint="eastAsia"/>
          <w:sz w:val="32"/>
          <w:szCs w:val="32"/>
          <w:lang w:val="en-US" w:eastAsia="zh-CN"/>
        </w:rPr>
        <w:t>人，退休人员</w:t>
      </w:r>
      <w:r>
        <w:rPr>
          <w:rFonts w:ascii="Times New Roman" w:eastAsia="仿宋_GB2312" w:cs="Times New Roman" w:hAnsi="Times New Roman"/>
          <w:sz w:val="32"/>
          <w:szCs w:val="32"/>
          <w:lang w:eastAsia="zh-CN"/>
        </w:rPr>
        <w:t>20</w:t>
      </w:r>
      <w:r>
        <w:rPr>
          <w:rFonts w:ascii="Times New Roman" w:eastAsia="仿宋_GB2312" w:cs="Times New Roman" w:hAnsi="Times New Roman" w:hint="eastAsia"/>
          <w:sz w:val="32"/>
          <w:szCs w:val="32"/>
          <w:lang w:val="en-US" w:eastAsia="zh-CN"/>
        </w:rPr>
        <w:t>人。</w:t>
      </w:r>
    </w:p>
    <w:p>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bookmarkStart w:id="115" w:name="_Toc1016001829_WPSOffice_Level2"/>
      <w:bookmarkStart w:id="116" w:name="_Toc11151994_WPSOffice_Level2"/>
      <w:bookmarkStart w:id="117" w:name="_Toc1715320434_WPSOffice_Level2"/>
      <w:bookmarkStart w:id="118" w:name="_Toc1731877845_WPSOffice_Level2"/>
      <w:r>
        <w:rPr>
          <w:rFonts w:eastAsia="黑体"/>
          <w:color w:val="000000"/>
          <w:kern w:val="0"/>
          <w:sz w:val="32"/>
          <w:szCs w:val="32"/>
          <w:shd w:val="clear" w:color="auto" w:fill="FFFFFF"/>
          <w:lang w:val="zh-CN"/>
        </w:rPr>
        <w:t>二、部门资金收支情况</w:t>
      </w:r>
      <w:bookmarkEnd w:id="115"/>
      <w:bookmarkEnd w:id="116"/>
      <w:bookmarkEnd w:id="117"/>
      <w:bookmarkEnd w:id="118"/>
    </w:p>
    <w:p>
      <w:pPr>
        <w:snapToGrid/>
        <w:spacing w:line="600" w:lineRule="exact"/>
        <w:ind w:firstLineChars="200" w:firstLine="640"/>
        <w:rPr>
          <w:rFonts w:ascii="Times New Roman" w:eastAsia="楷体_GB2312" w:cs="Times New Roman" w:hAnsi="Times New Roman"/>
          <w:b/>
          <w:bCs/>
          <w:color w:val="000000"/>
          <w:kern w:val="0"/>
          <w:szCs w:val="32"/>
          <w:shd w:val="clear" w:color="auto" w:fill="FFFFFF"/>
          <w:lang w:val="en-US"/>
          <w:highlight w:val="auto"/>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ascii="Times New Roman" w:eastAsia="仿宋_GB2312" w:cs="Times New Roman" w:hAnsi="Times New Roman" w:hint="eastAsia"/>
          <w:sz w:val="32"/>
          <w:szCs w:val="32"/>
          <w:lang w:val="zh-CN" w:eastAsia="zh-CN"/>
        </w:rPr>
        <w:t>市退役军人事务</w:t>
      </w:r>
      <w:r>
        <w:rPr>
          <w:rFonts w:ascii="Times New Roman" w:eastAsia="仿宋_GB2312" w:cs="Times New Roman" w:hAnsi="Times New Roman" w:hint="eastAsia"/>
          <w:sz w:val="32"/>
          <w:szCs w:val="32"/>
          <w:lang w:val="en-US" w:eastAsia="zh-CN"/>
        </w:rPr>
        <w:t>部门202</w:t>
      </w:r>
      <w:r>
        <w:rPr>
          <w:rFonts w:eastAsia="仿宋_GB2312" w:cs="Times New Roman"/>
          <w:sz w:val="32"/>
          <w:szCs w:val="32"/>
          <w:lang w:eastAsia="zh-CN"/>
        </w:rPr>
        <w:t>5</w:t>
      </w:r>
      <w:r>
        <w:rPr>
          <w:rFonts w:ascii="Times New Roman" w:eastAsia="仿宋_GB2312" w:cs="Times New Roman" w:hAnsi="Times New Roman" w:hint="eastAsia"/>
          <w:sz w:val="32"/>
          <w:szCs w:val="32"/>
          <w:lang w:val="en-US" w:eastAsia="zh-CN"/>
        </w:rPr>
        <w:t>年年初预算收入</w:t>
      </w:r>
      <w:r>
        <w:rPr>
          <w:rFonts w:eastAsia="仿宋_GB2312" w:cs="Times New Roman"/>
          <w:sz w:val="32"/>
          <w:szCs w:val="32"/>
          <w:lang w:eastAsia="zh-CN"/>
        </w:rPr>
        <w:t>1,318.58</w:t>
      </w:r>
      <w:r>
        <w:rPr>
          <w:rFonts w:ascii="Times New Roman" w:eastAsia="仿宋_GB2312" w:cs="Times New Roman" w:hAnsi="Times New Roman" w:hint="eastAsia"/>
          <w:sz w:val="32"/>
          <w:szCs w:val="32"/>
          <w:lang w:val="en-US" w:eastAsia="zh-CN"/>
        </w:rPr>
        <w:t>万元，均为一般公共预算拨款，调整预算数</w:t>
      </w:r>
      <w:r>
        <w:rPr>
          <w:rFonts w:eastAsia="仿宋_GB2312" w:cs="Times New Roman"/>
          <w:sz w:val="32"/>
          <w:szCs w:val="32"/>
          <w:lang w:eastAsia="zh-CN"/>
        </w:rPr>
        <w:t>4,898.53</w:t>
      </w:r>
      <w:r>
        <w:rPr>
          <w:rFonts w:ascii="Times New Roman" w:eastAsia="仿宋_GB2312" w:cs="Times New Roman" w:hAnsi="Times New Roman" w:hint="eastAsia"/>
          <w:sz w:val="32"/>
          <w:szCs w:val="32"/>
          <w:lang w:val="en-US" w:eastAsia="zh-CN"/>
        </w:rPr>
        <w:t>万元,政府性基金预算拨款</w:t>
      </w:r>
      <w:r>
        <w:rPr>
          <w:rFonts w:eastAsia="仿宋_GB2312" w:cs="Times New Roman"/>
          <w:sz w:val="32"/>
          <w:szCs w:val="32"/>
          <w:lang w:eastAsia="zh-CN"/>
        </w:rPr>
        <w:t>11.11</w:t>
      </w:r>
      <w:r>
        <w:rPr>
          <w:rFonts w:eastAsia="仿宋_GB2312" w:cs="Times New Roman" w:hint="eastAsia"/>
          <w:sz w:val="32"/>
          <w:szCs w:val="32"/>
          <w:lang w:eastAsia="zh-CN"/>
        </w:rPr>
        <w:t>万元，</w:t>
      </w:r>
      <w:r>
        <w:rPr>
          <w:rFonts w:ascii="Times New Roman" w:eastAsia="仿宋_GB2312" w:cs="Times New Roman" w:hAnsi="Times New Roman" w:hint="eastAsia"/>
          <w:sz w:val="32"/>
          <w:szCs w:val="32"/>
          <w:lang w:val="en-US" w:eastAsia="zh-CN"/>
        </w:rPr>
        <w:t>其他收入</w:t>
      </w:r>
      <w:r>
        <w:rPr>
          <w:rFonts w:eastAsia="仿宋_GB2312" w:cs="Times New Roman"/>
          <w:sz w:val="32"/>
          <w:szCs w:val="32"/>
          <w:lang w:eastAsia="zh-CN"/>
        </w:rPr>
        <w:t>39.34</w:t>
      </w:r>
      <w:r>
        <w:rPr>
          <w:rFonts w:ascii="Times New Roman" w:eastAsia="仿宋_GB2312" w:cs="Times New Roman" w:hAnsi="Times New Roman" w:hint="eastAsia"/>
          <w:sz w:val="32"/>
          <w:szCs w:val="32"/>
          <w:lang w:val="en-US" w:eastAsia="zh-CN"/>
        </w:rPr>
        <w:t>万元，年初结转结余</w:t>
      </w:r>
      <w:r>
        <w:rPr>
          <w:rFonts w:eastAsia="仿宋_GB2312" w:cs="Times New Roman"/>
          <w:sz w:val="32"/>
          <w:szCs w:val="32"/>
          <w:lang w:eastAsia="zh-CN"/>
        </w:rPr>
        <w:t>4.77</w:t>
      </w:r>
      <w:r>
        <w:rPr>
          <w:rFonts w:ascii="Times New Roman" w:eastAsia="仿宋_GB2312" w:cs="Times New Roman" w:hAnsi="Times New Roman" w:hint="eastAsia"/>
          <w:sz w:val="32"/>
          <w:szCs w:val="32"/>
          <w:lang w:val="en-US" w:eastAsia="zh-CN"/>
        </w:rPr>
        <w:t>万元,全年部门收入共计</w:t>
      </w:r>
      <w:r>
        <w:rPr>
          <w:rFonts w:eastAsia="仿宋_GB2312" w:cs="Times New Roman"/>
          <w:sz w:val="32"/>
          <w:szCs w:val="32"/>
          <w:lang w:eastAsia="zh-CN"/>
        </w:rPr>
        <w:t>4,953.75</w:t>
      </w:r>
      <w:r>
        <w:rPr>
          <w:rFonts w:ascii="Times New Roman" w:eastAsia="仿宋_GB2312" w:cs="Times New Roman" w:hAnsi="Times New Roman" w:hint="eastAsia"/>
          <w:sz w:val="32"/>
          <w:szCs w:val="32"/>
          <w:lang w:val="en-US" w:eastAsia="zh-CN"/>
        </w:rPr>
        <w:t>万元。</w:t>
      </w:r>
    </w:p>
    <w:p>
      <w:pPr>
        <w:snapToGrid/>
        <w:spacing w:line="600" w:lineRule="exact"/>
        <w:ind w:firstLineChars="200" w:firstLine="640"/>
        <w:rPr>
          <w:rFonts w:ascii="Times New Roman" w:cs="Times New Roman" w:hAnsi="Times New Roman"/>
          <w:szCs w:val="32"/>
          <w:lang w:val="zh-CN" w:eastAsia="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ascii="Times New Roman" w:eastAsia="仿宋_GB2312" w:cs="Times New Roman" w:hAnsi="Times New Roman" w:hint="eastAsia"/>
          <w:sz w:val="32"/>
          <w:szCs w:val="32"/>
          <w:lang w:val="zh-CN" w:eastAsia="zh-CN"/>
        </w:rPr>
        <w:t>市退役军人事务</w:t>
      </w:r>
      <w:r>
        <w:rPr>
          <w:rFonts w:ascii="Times New Roman" w:eastAsia="仿宋_GB2312" w:cs="Times New Roman" w:hAnsi="Times New Roman" w:hint="eastAsia"/>
          <w:sz w:val="32"/>
          <w:szCs w:val="32"/>
          <w:lang w:val="en-US" w:eastAsia="zh-CN"/>
        </w:rPr>
        <w:t>部门202</w:t>
      </w:r>
      <w:r>
        <w:rPr>
          <w:rFonts w:eastAsia="仿宋_GB2312" w:cs="Times New Roman"/>
          <w:sz w:val="32"/>
          <w:szCs w:val="32"/>
          <w:lang w:eastAsia="zh-CN"/>
        </w:rPr>
        <w:t>5</w:t>
      </w:r>
      <w:r>
        <w:rPr>
          <w:rFonts w:ascii="Times New Roman" w:eastAsia="仿宋_GB2312" w:cs="Times New Roman" w:hAnsi="Times New Roman" w:hint="eastAsia"/>
          <w:sz w:val="32"/>
          <w:szCs w:val="32"/>
          <w:lang w:val="en-US" w:eastAsia="zh-CN"/>
        </w:rPr>
        <w:t>年年初预算支出</w:t>
      </w:r>
      <w:r>
        <w:rPr>
          <w:rFonts w:eastAsia="仿宋_GB2312" w:cs="Times New Roman"/>
          <w:sz w:val="32"/>
          <w:szCs w:val="32"/>
          <w:lang w:eastAsia="zh-CN"/>
        </w:rPr>
        <w:t>1,318.58</w:t>
      </w:r>
      <w:r>
        <w:rPr>
          <w:rFonts w:ascii="Times New Roman" w:eastAsia="仿宋_GB2312" w:cs="Times New Roman" w:hAnsi="Times New Roman" w:hint="eastAsia"/>
          <w:sz w:val="32"/>
          <w:szCs w:val="32"/>
          <w:lang w:val="en-US" w:eastAsia="zh-CN"/>
        </w:rPr>
        <w:t>万元</w:t>
      </w:r>
      <w:r>
        <w:rPr>
          <w:rFonts w:ascii="Times New Roman" w:eastAsia="仿宋_GB2312" w:cs="Times New Roman" w:hAnsi="Times New Roman"/>
          <w:sz w:val="32"/>
          <w:szCs w:val="32"/>
          <w:lang w:eastAsia="zh-CN"/>
        </w:rPr>
        <w:t>,</w:t>
      </w:r>
      <w:r>
        <w:rPr>
          <w:rFonts w:ascii="Times New Roman" w:eastAsia="仿宋_GB2312" w:cs="Times New Roman" w:hAnsi="Times New Roman" w:hint="eastAsia"/>
          <w:sz w:val="32"/>
          <w:szCs w:val="32"/>
          <w:lang w:val="en-US" w:eastAsia="zh-CN"/>
        </w:rPr>
        <w:t>部门总体支出</w:t>
      </w:r>
      <w:r>
        <w:rPr>
          <w:rFonts w:eastAsia="仿宋_GB2312" w:cs="Times New Roman"/>
          <w:sz w:val="32"/>
          <w:szCs w:val="32"/>
          <w:lang w:eastAsia="zh-CN"/>
        </w:rPr>
        <w:t>4,949.11</w:t>
      </w:r>
      <w:r>
        <w:rPr>
          <w:rFonts w:ascii="Times New Roman" w:eastAsia="仿宋_GB2312" w:cs="Times New Roman" w:hAnsi="Times New Roman" w:hint="eastAsia"/>
          <w:sz w:val="32"/>
          <w:szCs w:val="32"/>
          <w:lang w:val="en-US" w:eastAsia="zh-CN"/>
        </w:rPr>
        <w:t xml:space="preserve">万元，其中基本支出 </w:t>
      </w:r>
      <w:r>
        <w:rPr>
          <w:rFonts w:eastAsia="仿宋_GB2312" w:cs="Times New Roman"/>
          <w:sz w:val="32"/>
          <w:szCs w:val="32"/>
          <w:lang w:eastAsia="zh-CN"/>
        </w:rPr>
        <w:t>1,158.86</w:t>
      </w:r>
      <w:r>
        <w:rPr>
          <w:rFonts w:ascii="Times New Roman" w:eastAsia="仿宋_GB2312" w:cs="Times New Roman" w:hAnsi="Times New Roman" w:hint="eastAsia"/>
          <w:sz w:val="32"/>
          <w:szCs w:val="32"/>
          <w:lang w:val="en-US" w:eastAsia="zh-CN"/>
        </w:rPr>
        <w:t>万元（人员经费</w:t>
      </w:r>
      <w:r>
        <w:rPr>
          <w:rFonts w:eastAsia="仿宋_GB2312" w:cs="Times New Roman"/>
          <w:sz w:val="32"/>
          <w:szCs w:val="32"/>
          <w:lang w:eastAsia="zh-CN"/>
        </w:rPr>
        <w:t>1,067.51</w:t>
      </w:r>
      <w:r>
        <w:rPr>
          <w:rFonts w:ascii="Times New Roman" w:eastAsia="仿宋_GB2312" w:cs="Times New Roman" w:hAnsi="Times New Roman" w:hint="eastAsia"/>
          <w:sz w:val="32"/>
          <w:szCs w:val="32"/>
          <w:lang w:val="en-US" w:eastAsia="zh-CN"/>
        </w:rPr>
        <w:t xml:space="preserve">万元，日常公用经费 </w:t>
      </w:r>
      <w:r>
        <w:rPr>
          <w:rFonts w:eastAsia="仿宋_GB2312" w:cs="Times New Roman"/>
          <w:sz w:val="32"/>
          <w:szCs w:val="32"/>
          <w:lang w:eastAsia="zh-CN"/>
        </w:rPr>
        <w:t>91.35</w:t>
      </w:r>
      <w:r>
        <w:rPr>
          <w:rFonts w:ascii="Times New Roman" w:eastAsia="仿宋_GB2312" w:cs="Times New Roman" w:hAnsi="Times New Roman" w:hint="eastAsia"/>
          <w:sz w:val="32"/>
          <w:szCs w:val="32"/>
          <w:lang w:val="en-US" w:eastAsia="zh-CN"/>
        </w:rPr>
        <w:t>万元），项目支出</w:t>
      </w:r>
      <w:r>
        <w:rPr>
          <w:rFonts w:eastAsia="仿宋_GB2312" w:cs="Times New Roman"/>
          <w:sz w:val="32"/>
          <w:szCs w:val="32"/>
          <w:lang w:eastAsia="zh-CN"/>
        </w:rPr>
        <w:t>3,790.26</w:t>
      </w:r>
      <w:r>
        <w:rPr>
          <w:rFonts w:ascii="Times New Roman" w:eastAsia="仿宋_GB2312" w:cs="Times New Roman" w:hAnsi="Times New Roman" w:hint="eastAsia"/>
          <w:sz w:val="32"/>
          <w:szCs w:val="32"/>
          <w:lang w:val="en-US" w:eastAsia="zh-CN"/>
        </w:rPr>
        <w:t>万元。</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eastAsia="楷体_GB2312" w:hint="eastAsia"/>
          <w:b/>
          <w:bCs/>
          <w:color w:val="000000"/>
          <w:kern w:val="0"/>
          <w:sz w:val="32"/>
          <w:szCs w:val="32"/>
          <w:shd w:val="clear" w:color="auto" w:fill="FFFFFF"/>
          <w:lang w:val="zh-CN"/>
        </w:rPr>
        <w:t>。</w:t>
      </w:r>
      <w:r>
        <w:rPr>
          <w:rFonts w:ascii="Times New Roman" w:eastAsia="仿宋_GB2312" w:cs="Times New Roman" w:hAnsi="Times New Roman" w:hint="eastAsia"/>
          <w:sz w:val="32"/>
          <w:szCs w:val="32"/>
          <w:lang w:val="zh-CN" w:eastAsia="zh-CN"/>
        </w:rPr>
        <w:t>市退役军人事务</w:t>
      </w:r>
      <w:r>
        <w:rPr>
          <w:rFonts w:ascii="Times New Roman" w:eastAsia="仿宋_GB2312" w:cs="Times New Roman" w:hAnsi="Times New Roman" w:hint="eastAsia"/>
          <w:sz w:val="32"/>
          <w:szCs w:val="32"/>
          <w:lang w:val="en-US" w:eastAsia="zh-CN"/>
        </w:rPr>
        <w:t>部门202</w:t>
      </w:r>
      <w:r>
        <w:rPr>
          <w:rFonts w:eastAsia="仿宋_GB2312" w:cs="Times New Roman"/>
          <w:sz w:val="32"/>
          <w:szCs w:val="32"/>
          <w:lang w:eastAsia="zh-CN"/>
        </w:rPr>
        <w:t>5</w:t>
      </w:r>
      <w:r>
        <w:rPr>
          <w:rFonts w:ascii="Times New Roman" w:eastAsia="仿宋_GB2312" w:cs="Times New Roman" w:hAnsi="Times New Roman" w:hint="eastAsia"/>
          <w:sz w:val="32"/>
          <w:szCs w:val="32"/>
          <w:lang w:val="en-US" w:eastAsia="zh-CN"/>
        </w:rPr>
        <w:t>年决算报表</w:t>
      </w:r>
      <w:r>
        <w:rPr>
          <w:rFonts w:ascii="Times New Roman" w:eastAsia="仿宋_GB2312" w:cs="Times New Roman" w:hAnsi="Times New Roman"/>
          <w:sz w:val="32"/>
          <w:szCs w:val="32"/>
          <w:lang w:val="en-US" w:eastAsia="zh-CN"/>
        </w:rPr>
        <w:t>结转结余</w:t>
      </w:r>
      <w:r>
        <w:rPr>
          <w:rFonts w:ascii="Times New Roman" w:eastAsia="仿宋_GB2312" w:cs="Times New Roman" w:hAnsi="Times New Roman" w:hint="eastAsia"/>
          <w:sz w:val="32"/>
          <w:szCs w:val="32"/>
          <w:lang w:val="en-US" w:eastAsia="zh-CN"/>
        </w:rPr>
        <w:t>4.77万元</w:t>
      </w:r>
      <w:r>
        <w:rPr>
          <w:rFonts w:ascii="Times New Roman" w:eastAsia="仿宋_GB2312" w:cs="Times New Roman" w:hAnsi="Times New Roman"/>
          <w:sz w:val="32"/>
          <w:szCs w:val="32"/>
          <w:lang w:val="en-US" w:eastAsia="zh-CN"/>
        </w:rPr>
        <w:t>。</w:t>
      </w:r>
      <w:r>
        <w:rPr>
          <w:rFonts w:ascii="Times New Roman" w:eastAsia="仿宋_GB2312" w:cs="Times New Roman" w:hAnsi="Times New Roman" w:hint="eastAsia"/>
          <w:sz w:val="32"/>
          <w:szCs w:val="32"/>
          <w:lang w:val="en-US" w:eastAsia="zh-CN"/>
        </w:rPr>
        <w:t>退役安置结余1.39万元、退役军人管理事务3.38万元。</w:t>
      </w:r>
    </w:p>
    <w:p>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bookmarkStart w:id="119" w:name="_Toc303354924_WPSOffice_Level2"/>
      <w:bookmarkStart w:id="120" w:name="_Toc767099230_WPSOffice_Level2"/>
      <w:bookmarkStart w:id="121" w:name="_Toc1134892303_WPSOffice_Level2"/>
      <w:bookmarkStart w:id="122" w:name="_Toc777391957_WPSOffice_Level2"/>
      <w:r>
        <w:rPr>
          <w:rFonts w:eastAsia="黑体"/>
          <w:color w:val="000000"/>
          <w:kern w:val="0"/>
          <w:sz w:val="32"/>
          <w:szCs w:val="32"/>
          <w:shd w:val="clear" w:color="auto" w:fill="FFFFFF"/>
          <w:lang w:val="zh-CN"/>
        </w:rPr>
        <w:t>三、部门预算绩效分析</w:t>
      </w:r>
      <w:bookmarkEnd w:id="119"/>
      <w:bookmarkEnd w:id="120"/>
      <w:bookmarkEnd w:id="121"/>
      <w:bookmarkEnd w:id="122"/>
    </w:p>
    <w:p>
      <w:pPr>
        <w:adjustRightInd w:val="0"/>
        <w:snapToGrid w:val="0"/>
        <w:spacing w:line="578" w:lineRule="exact"/>
        <w:ind w:firstLineChars="200" w:firstLine="64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pPr>
        <w:snapToGrid/>
        <w:spacing w:line="600" w:lineRule="exact"/>
        <w:ind w:firstLineChars="200" w:firstLine="640"/>
        <w:rPr>
          <w:rFonts w:eastAsia="仿宋_GB2312" w:cs="仿宋_GB2312" w:hint="eastAsia"/>
          <w:sz w:val="32"/>
          <w:szCs w:val="32"/>
          <w:lang w:val="zh-CN"/>
        </w:rPr>
      </w:pPr>
      <w:r>
        <w:rPr>
          <w:rFonts w:eastAsia="仿宋_GB2312" w:cs="仿宋_GB2312" w:hint="eastAsia"/>
          <w:sz w:val="32"/>
          <w:szCs w:val="32"/>
        </w:rPr>
        <w:t>1.</w:t>
      </w:r>
      <w:r>
        <w:rPr>
          <w:rFonts w:eastAsia="仿宋_GB2312" w:cs="仿宋_GB2312" w:hint="eastAsia"/>
          <w:sz w:val="32"/>
          <w:szCs w:val="32"/>
          <w:lang w:val="zh-CN"/>
        </w:rPr>
        <w:t>履职效能。</w:t>
      </w:r>
    </w:p>
    <w:p>
      <w:pPr>
        <w:snapToGrid/>
        <w:spacing w:line="600" w:lineRule="exact"/>
        <w:ind w:firstLineChars="200" w:firstLine="640"/>
        <w:rPr>
          <w:rFonts w:ascii="Times New Roman" w:eastAsia="仿宋_GB2312" w:cs="Times New Roman" w:hAnsi="Times New Roman" w:hint="eastAsia"/>
          <w:sz w:val="32"/>
          <w:szCs w:val="32"/>
          <w:lang w:val="en-US" w:eastAsia="zh-CN"/>
        </w:rPr>
      </w:pPr>
      <w:r>
        <w:rPr>
          <w:rFonts w:ascii="Times New Roman" w:eastAsia="仿宋_GB2312" w:cs="Times New Roman" w:hAnsi="Times New Roman" w:hint="eastAsia"/>
          <w:sz w:val="32"/>
          <w:szCs w:val="32"/>
          <w:lang w:val="zh-CN" w:eastAsia="zh-CN"/>
        </w:rPr>
        <w:t>（</w:t>
      </w:r>
      <w:r>
        <w:rPr>
          <w:rFonts w:ascii="Times New Roman" w:eastAsia="仿宋_GB2312" w:cs="Times New Roman" w:hAnsi="Times New Roman" w:hint="eastAsia"/>
          <w:sz w:val="32"/>
          <w:szCs w:val="32"/>
          <w:lang w:val="en-US" w:eastAsia="zh-CN"/>
        </w:rPr>
        <w:t>1</w:t>
      </w:r>
      <w:r>
        <w:rPr>
          <w:rFonts w:ascii="Times New Roman" w:eastAsia="仿宋_GB2312" w:cs="Times New Roman" w:hAnsi="Times New Roman" w:hint="eastAsia"/>
          <w:sz w:val="32"/>
          <w:szCs w:val="32"/>
          <w:lang w:val="zh-CN" w:eastAsia="zh-CN"/>
        </w:rPr>
        <w:t>）</w:t>
      </w:r>
      <w:r>
        <w:rPr>
          <w:rFonts w:ascii="Times New Roman" w:eastAsia="仿宋_GB2312" w:cs="Times New Roman" w:hAnsi="Times New Roman" w:hint="eastAsia"/>
          <w:sz w:val="32"/>
          <w:szCs w:val="32"/>
          <w:lang w:val="en-US" w:eastAsia="zh-CN"/>
        </w:rPr>
        <w:t>聚焦“党建引领”，夯实党风廉政根基。坚持把党的政治建设摆在首位，严格落实“第一议题”制度，截至目前，召开党组会议18次、党组理论学习中心组学习9次。及时将习近平总书记关于退役军人工作的重要论述及重要指示批示精神纳入党组会议学习。严格落实全面从严治党主体责任，召开党风廉政建设专题会议1次，廉政谈话8人次。开展廉政风险排查，梳理岗位风险点18个，印发《攀枝花市退役军人事务局廉政风险防控责任清单（2025年修订）》，制定防控措施38条。严肃查处巡察反馈的违反中央八项规定精神问题，认真落实意识形态工作责任制，筑牢意识形态防线。截至目前，专题研究意识形态工作1次，分析研判意识形态领域情况3次。网评员工作运转良好，任务完成率全省排名靠前。</w:t>
      </w:r>
    </w:p>
    <w:p>
      <w:pPr>
        <w:snapToGrid/>
        <w:spacing w:line="600" w:lineRule="exact"/>
        <w:ind w:firstLineChars="200" w:firstLine="640"/>
        <w:rPr>
          <w:rFonts w:ascii="Times New Roman" w:eastAsia="仿宋_GB2312" w:cs="Times New Roman" w:hAnsi="Times New Roman" w:hint="eastAsia"/>
          <w:sz w:val="32"/>
          <w:szCs w:val="32"/>
          <w:lang w:val="en-US" w:eastAsia="zh-CN"/>
        </w:rPr>
      </w:pPr>
      <w:r>
        <w:rPr>
          <w:rFonts w:ascii="Times New Roman" w:eastAsia="仿宋_GB2312" w:cs="Times New Roman" w:hAnsi="Times New Roman" w:hint="eastAsia"/>
          <w:sz w:val="32"/>
          <w:szCs w:val="32"/>
          <w:lang w:val="en-US" w:eastAsia="zh-CN"/>
        </w:rPr>
        <w:t>（2）聚焦“精准安置”，筑牢转型保障基石。高效完成6名转业军官、复员军官及军休干部接收安置，实现“接收零延误、安置零差错”。主动对接政企单位挖掘优质岗位102个，完成25名由政府安排工作退役士兵安置工作，人岗比例达1：4，安置满意度位居全省前列。完成263名春、秋季返乡退役士兵接收，90名自主择业军转干部年审工作。</w:t>
      </w:r>
    </w:p>
    <w:p>
      <w:pPr>
        <w:snapToGrid/>
        <w:spacing w:line="600" w:lineRule="exact"/>
        <w:ind w:firstLineChars="200" w:firstLine="640"/>
        <w:rPr>
          <w:rFonts w:ascii="Times New Roman" w:eastAsia="仿宋_GB2312" w:cs="Times New Roman" w:hAnsi="Times New Roman" w:hint="eastAsia"/>
          <w:sz w:val="32"/>
          <w:szCs w:val="32"/>
          <w:lang w:val="en-US" w:eastAsia="zh-CN"/>
        </w:rPr>
      </w:pPr>
      <w:r>
        <w:rPr>
          <w:rFonts w:ascii="Times New Roman" w:eastAsia="仿宋_GB2312" w:cs="Times New Roman" w:hAnsi="Times New Roman" w:hint="eastAsia"/>
          <w:sz w:val="32"/>
          <w:szCs w:val="32"/>
          <w:lang w:val="en-US" w:eastAsia="zh-CN"/>
        </w:rPr>
        <w:t>（3）聚焦“就业赋能”，构建全链条服务体系。深化“戎耀归蜀”退役军人及军属招聘品牌建设，全年举办线下招聘活动18次，助力300余名退役军人达成就业意向。组织400名退役士兵完成线上线下适应性培训。推行“订单式”“定岗式”培训模式，选派5名创业代表参加全省“我能飞”创业提升培训、1人参加风电运维培训、1人参加汽车产业订单式培训，9人参与农业经理人专题培训，130人参加无人机、汽车驾驶等实用技能培训。落实创业扶持政策，发放一次性创业补贴1万元、创业担保贷款61.8万元。精准识别109名失业退役军人、127名就业困难退役军人，建立“一人一册”帮扶台账，通过“查、核、转、评”全流程管理确保帮扶落地。目前“两类”人员已100%实现就业帮扶。</w:t>
      </w:r>
    </w:p>
    <w:p>
      <w:pPr>
        <w:snapToGrid/>
        <w:spacing w:line="600" w:lineRule="exact"/>
        <w:ind w:firstLineChars="200" w:firstLine="640"/>
        <w:rPr>
          <w:rFonts w:ascii="Times New Roman" w:eastAsia="仿宋_GB2312" w:cs="Times New Roman" w:hAnsi="Times New Roman" w:hint="eastAsia"/>
          <w:sz w:val="32"/>
          <w:szCs w:val="32"/>
          <w:lang w:val="en-US" w:eastAsia="zh-CN"/>
        </w:rPr>
      </w:pPr>
      <w:r>
        <w:rPr>
          <w:rFonts w:ascii="Times New Roman" w:eastAsia="仿宋_GB2312" w:cs="Times New Roman" w:hAnsi="Times New Roman" w:hint="eastAsia"/>
          <w:sz w:val="32"/>
          <w:szCs w:val="32"/>
          <w:lang w:val="en-US" w:eastAsia="zh-CN"/>
        </w:rPr>
        <w:t>（4）聚焦“优抚褒扬”，厚植尊崇关爱氛围。截至11月24日，审核办理优待证617张。发布我市第四批优待项目清单20个，累计发布优待项目清单达192个，持续提升优待证“含金量”。完成2025年3429名享受定期抚恤和生活补助优抚对象年度数据更新，新认定抚恤补助优抚对象161人，为3名残疾军人配备康复辅助器具，完成全市首例精神性疾病退役军人评残工作。全年下达抚恤医疗补助资金3950余万元。开展全市烈士陵园保护管理专项提升行动，完成3处陵园保护范围划定、产权登记及高德地图点位标识。打造“纪念碑下的思政课”品牌，组织2.1万人次参与“清明祭英烈”、向人民英雄敬献花篮仪式等活动，1万余名中小学生开展红色教育活动。成功为136名烈士寻亲，孙剑明、房桂芝英烈事迹入选首批《四川英烈故事》，英烈精神融入城市血脉。</w:t>
      </w:r>
    </w:p>
    <w:p>
      <w:pPr>
        <w:snapToGrid/>
        <w:spacing w:line="600" w:lineRule="exact"/>
        <w:ind w:firstLineChars="200" w:firstLine="640"/>
        <w:rPr>
          <w:rFonts w:ascii="Times New Roman" w:eastAsia="仿宋_GB2312" w:cs="Times New Roman" w:hAnsi="Times New Roman" w:hint="eastAsia"/>
          <w:sz w:val="32"/>
          <w:szCs w:val="32"/>
          <w:lang w:val="en-US" w:eastAsia="zh-CN"/>
        </w:rPr>
      </w:pPr>
      <w:r>
        <w:rPr>
          <w:rFonts w:ascii="Times New Roman" w:eastAsia="仿宋_GB2312" w:cs="Times New Roman" w:hAnsi="Times New Roman" w:hint="eastAsia"/>
          <w:sz w:val="32"/>
          <w:szCs w:val="32"/>
          <w:lang w:val="en-US" w:eastAsia="zh-CN"/>
        </w:rPr>
        <w:t>（5）聚焦“双拥共建”，凝聚军政军民合力。春节、“八一”期间走访慰问驻地部队及攀枝花舰官兵，为3万余名优抚对象发放慰问金（品）300余万元，重点关爱140余名抗战老战士等特殊群体。落实军人子女教育优待政策，妥善解决21名官兵子女入学入托问题；为368名官兵家庭送达立功喜报，发放奖励金55.76万元，激发军心士气。制定《军地互办实事双清单》，完成军分区后勤安保服务招标，解决部队实际需求。推进军供保障升级，市军供站在火车南站保障点为入伍新兵发放特色军供礼包，传递家乡温暖。军供站迁建取得阶段性成果，已纳入省军供保障“十五五”规划，新建攀枝花市军供站选址工作已基本完成，计划2028年开工建设，总投资约5000万元。《攀枝花市军供保障（2025-2026）两年提升行动方案》通过退役军人事务厅批准，争取866.33万元省级财政资金支持。</w:t>
      </w:r>
    </w:p>
    <w:p>
      <w:pPr>
        <w:snapToGrid/>
        <w:spacing w:line="600" w:lineRule="exact"/>
        <w:ind w:firstLineChars="200" w:firstLine="640"/>
        <w:rPr>
          <w:rFonts w:ascii="Times New Roman" w:eastAsia="仿宋_GB2312" w:cs="Times New Roman" w:hAnsi="Times New Roman" w:hint="eastAsia"/>
          <w:sz w:val="32"/>
          <w:szCs w:val="32"/>
          <w:lang w:val="zh-CN" w:eastAsia="zh-CN"/>
        </w:rPr>
      </w:pPr>
      <w:r>
        <w:rPr>
          <w:rFonts w:ascii="Times New Roman" w:eastAsia="仿宋_GB2312" w:cs="Times New Roman" w:hAnsi="Times New Roman" w:hint="eastAsia"/>
          <w:sz w:val="32"/>
          <w:szCs w:val="32"/>
          <w:lang w:val="en-US" w:eastAsia="zh-CN"/>
        </w:rPr>
        <w:t>（6）聚焦“底线守护”，夯实安全发展基础。处置化解退役军人事务部平台信访事项112件次，答复12345热线14条，化解退役军人事务厅通报网络负面舆情5起。推行退役军人服务“一件事”集成办理，联办件、办结件比率全省领先，获省厅点名表扬。为77名困难退役军人发放关爱帮扶基金25.6万元。截至目前，为2名困难退役军人子女发放助学金1万元；组织开展“情暖老兵 守护光明”公益行动，7人完成眼部手术；争取省级困难退役军人关爱帮扶资金支持84.03万元。</w:t>
      </w:r>
    </w:p>
    <w:p>
      <w:pPr>
        <w:adjustRightInd w:val="0"/>
        <w:snapToGrid w:val="0"/>
        <w:spacing w:line="600" w:lineRule="exact"/>
        <w:ind w:leftChars="50" w:left="105" w:firstLineChars="200" w:firstLine="640"/>
        <w:rPr>
          <w:rFonts w:eastAsia="仿宋_GB2312" w:cs="仿宋_GB2312"/>
          <w:sz w:val="32"/>
          <w:szCs w:val="32"/>
          <w:lang w:val="zh-CN"/>
        </w:rPr>
      </w:pPr>
      <w:r>
        <w:rPr>
          <w:rFonts w:eastAsia="仿宋_GB2312" w:cs="仿宋_GB2312" w:hint="eastAsia"/>
          <w:sz w:val="32"/>
          <w:szCs w:val="32"/>
        </w:rPr>
        <w:t>2.</w:t>
      </w:r>
      <w:r>
        <w:rPr>
          <w:rFonts w:eastAsia="仿宋_GB2312" w:cs="仿宋_GB2312"/>
          <w:sz w:val="32"/>
          <w:szCs w:val="32"/>
          <w:lang w:val="zh-CN"/>
        </w:rPr>
        <w:t>预算管理</w:t>
      </w:r>
      <w:r>
        <w:rPr>
          <w:rFonts w:eastAsia="仿宋_GB2312" w:cs="仿宋_GB2312" w:hint="eastAsia"/>
          <w:sz w:val="32"/>
          <w:szCs w:val="32"/>
          <w:lang w:val="zh-CN"/>
        </w:rPr>
        <w:t>。</w:t>
      </w:r>
      <w:r>
        <w:rPr>
          <w:rFonts w:ascii="Times New Roman" w:eastAsia="仿宋_GB2312" w:cs="Times New Roman" w:hAnsi="Times New Roman" w:hint="eastAsia"/>
          <w:sz w:val="32"/>
          <w:szCs w:val="32"/>
          <w:lang w:val="zh-CN" w:eastAsia="zh-CN"/>
        </w:rPr>
        <w:t>严格按照《市本级基本支出预算管理办法》等有关规定，根据财政应负担的实有人数按口径据实编制人员支出。公用经费按定额标准进行编制</w:t>
      </w:r>
      <w:r>
        <w:rPr>
          <w:rFonts w:ascii="Times New Roman" w:eastAsia="仿宋_GB2312" w:cs="Times New Roman" w:hAnsi="Times New Roman" w:hint="eastAsia"/>
          <w:sz w:val="32"/>
          <w:szCs w:val="32"/>
          <w:lang w:val="en-US" w:eastAsia="zh-CN"/>
        </w:rPr>
        <w:t>，预算数据完整、准确无误。项目预算，根据项目的既定目标、实施依据，精准编制项目支出绩效申报表，切实做到项目资金编制的合理化、科学化。在资金的支出执行上，把好审核关，按预算进度支付各类款项。人员经费、日常公用按规定支付，有效保障了机关正常运转和日常工作任务，扎实有序地推进</w:t>
      </w:r>
      <w:r>
        <w:rPr>
          <w:rFonts w:ascii="Times New Roman" w:eastAsia="仿宋_GB2312" w:cs="Times New Roman" w:hAnsi="Times New Roman"/>
          <w:sz w:val="32"/>
          <w:szCs w:val="32"/>
          <w:lang w:val="en-US" w:eastAsia="zh-CN"/>
        </w:rPr>
        <w:t>退役军人事务工作</w:t>
      </w:r>
      <w:r>
        <w:rPr>
          <w:rFonts w:ascii="Times New Roman" w:eastAsia="仿宋_GB2312" w:cs="Times New Roman" w:hAnsi="Times New Roman" w:hint="eastAsia"/>
          <w:sz w:val="32"/>
          <w:szCs w:val="32"/>
          <w:lang w:val="en-US" w:eastAsia="zh-CN"/>
        </w:rPr>
        <w:t>。在项目资金使用方面，做到事前审核、事中监控、事后检查，全程跟踪检查各类项目资金的拨付、使用情况。通过项目实施，部门工作职能得到有效发挥，切实保障了服务群体的合法权益。2025年度资金结余率低，无违规记录情况。</w:t>
      </w:r>
    </w:p>
    <w:p>
      <w:pPr>
        <w:adjustRightInd w:val="0"/>
        <w:snapToGrid w:val="0"/>
        <w:spacing w:line="600" w:lineRule="exact"/>
        <w:ind w:leftChars="50" w:left="105" w:firstLineChars="200" w:firstLine="640"/>
        <w:rPr>
          <w:rFonts w:eastAsia="仿宋_GB2312" w:cs="仿宋_GB2312"/>
          <w:sz w:val="32"/>
          <w:szCs w:val="32"/>
          <w:lang w:val="zh-CN"/>
        </w:rPr>
      </w:pPr>
      <w:r>
        <w:rPr>
          <w:rFonts w:eastAsia="仿宋_GB2312" w:cs="仿宋_GB2312" w:hint="eastAsia"/>
          <w:sz w:val="32"/>
          <w:szCs w:val="32"/>
        </w:rPr>
        <w:t>3.</w:t>
      </w:r>
      <w:r>
        <w:rPr>
          <w:rFonts w:eastAsia="仿宋_GB2312" w:cs="仿宋_GB2312"/>
          <w:sz w:val="32"/>
          <w:szCs w:val="32"/>
          <w:lang w:val="zh-CN"/>
        </w:rPr>
        <w:t>财务管理</w:t>
      </w:r>
      <w:r>
        <w:rPr>
          <w:rFonts w:eastAsia="仿宋_GB2312" w:cs="仿宋_GB2312" w:hint="eastAsia"/>
          <w:sz w:val="32"/>
          <w:szCs w:val="32"/>
          <w:lang w:val="zh-CN"/>
        </w:rPr>
        <w:t>。</w:t>
      </w:r>
      <w:r>
        <w:rPr>
          <w:rFonts w:ascii="Times New Roman" w:eastAsia="仿宋_GB2312" w:cs="Times New Roman" w:hAnsi="Times New Roman" w:hint="eastAsia"/>
          <w:sz w:val="32"/>
          <w:szCs w:val="32"/>
          <w:lang w:val="en-US" w:eastAsia="zh-CN"/>
        </w:rPr>
        <w:t>2</w:t>
      </w:r>
      <w:r>
        <w:rPr>
          <w:rFonts w:ascii="Times New Roman" w:eastAsia="仿宋_GB2312" w:cs="Times New Roman" w:hAnsi="Times New Roman" w:hint="eastAsia"/>
          <w:sz w:val="32"/>
          <w:szCs w:val="32"/>
          <w:lang w:val="zh-CN" w:eastAsia="zh-CN"/>
        </w:rPr>
        <w:t>02</w:t>
      </w:r>
      <w:r>
        <w:rPr>
          <w:rFonts w:ascii="Times New Roman" w:eastAsia="仿宋_GB2312" w:cs="Times New Roman" w:hAnsi="Times New Roman" w:hint="eastAsia"/>
          <w:sz w:val="32"/>
          <w:szCs w:val="32"/>
          <w:lang w:val="en-US" w:eastAsia="zh-CN"/>
        </w:rPr>
        <w:t>5</w:t>
      </w:r>
      <w:r>
        <w:rPr>
          <w:rFonts w:ascii="Times New Roman" w:eastAsia="仿宋_GB2312" w:cs="Times New Roman" w:hAnsi="Times New Roman" w:hint="eastAsia"/>
          <w:sz w:val="32"/>
          <w:szCs w:val="32"/>
          <w:lang w:val="zh-CN" w:eastAsia="zh-CN"/>
        </w:rPr>
        <w:t>年度，财务管理工作以制度完善、岗位优化、资金规范为核心，实现绩效全面提升。财务管理制度方面，认真组织开展专项资金检查及内部审计工作；财务岗位设置上，严格实行会计、出纳、稽核岗位分设，落实不相容职务分离原则，建立定期轮岗与业务培训机制，岗位责任明晰度与专业能力显著提升；资金使用规范方面，做到专款专用，审计抽查未发现重大违规问题，通过门户网站主动公开“三公”经费使用情况，接受社会公众监督。</w:t>
      </w:r>
    </w:p>
    <w:p>
      <w:pPr>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4.</w:t>
      </w:r>
      <w:r>
        <w:rPr>
          <w:rFonts w:eastAsia="仿宋_GB2312" w:cs="仿宋_GB2312"/>
          <w:sz w:val="32"/>
          <w:szCs w:val="32"/>
          <w:lang w:val="zh-CN"/>
        </w:rPr>
        <w:t>资产管理</w:t>
      </w:r>
      <w:r>
        <w:rPr>
          <w:rFonts w:eastAsia="仿宋_GB2312" w:cs="仿宋_GB2312" w:hint="eastAsia"/>
          <w:sz w:val="32"/>
          <w:szCs w:val="32"/>
          <w:lang w:val="zh-CN"/>
        </w:rPr>
        <w:t>。</w:t>
      </w:r>
      <w:r>
        <w:rPr>
          <w:rFonts w:ascii="Times New Roman" w:eastAsia="仿宋_GB2312" w:cs="Times New Roman" w:hAnsi="Times New Roman" w:hint="eastAsia"/>
          <w:sz w:val="32"/>
          <w:szCs w:val="32"/>
          <w:lang w:val="zh-CN" w:eastAsia="zh-CN"/>
        </w:rPr>
        <w:t>专人负责资产管理，制度健全资产安全得到有效保障，固定资产定期进行盘点和清理，资产使用均达到最低使用年限，固定资产使用率</w:t>
      </w:r>
      <w:r>
        <w:rPr>
          <w:rFonts w:ascii="Times New Roman" w:eastAsia="仿宋_GB2312" w:cs="Times New Roman" w:hAnsi="Times New Roman" w:hint="eastAsia"/>
          <w:sz w:val="32"/>
          <w:szCs w:val="32"/>
          <w:lang w:val="en-US" w:eastAsia="zh-CN"/>
        </w:rPr>
        <w:t>95</w:t>
      </w:r>
      <w:r>
        <w:rPr>
          <w:rFonts w:ascii="Times New Roman" w:eastAsia="仿宋_GB2312" w:cs="Times New Roman" w:hAnsi="Times New Roman" w:hint="eastAsia"/>
          <w:sz w:val="32"/>
          <w:szCs w:val="32"/>
          <w:lang w:val="zh-CN" w:eastAsia="zh-CN"/>
        </w:rPr>
        <w:t>%以上。</w:t>
      </w:r>
    </w:p>
    <w:p>
      <w:pPr>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5.</w:t>
      </w:r>
      <w:r>
        <w:rPr>
          <w:rFonts w:eastAsia="仿宋_GB2312" w:cs="仿宋_GB2312"/>
          <w:sz w:val="32"/>
          <w:szCs w:val="32"/>
          <w:lang w:val="zh-CN"/>
        </w:rPr>
        <w:t>采购管理</w:t>
      </w:r>
      <w:r>
        <w:rPr>
          <w:rFonts w:eastAsia="仿宋_GB2312" w:cs="仿宋_GB2312" w:hint="eastAsia"/>
          <w:sz w:val="32"/>
          <w:szCs w:val="32"/>
          <w:lang w:val="zh-CN"/>
        </w:rPr>
        <w:t>。</w:t>
      </w:r>
      <w:r>
        <w:rPr>
          <w:rFonts w:ascii="Times New Roman" w:eastAsia="仿宋_GB2312" w:cs="Times New Roman" w:hAnsi="Times New Roman" w:hint="eastAsia"/>
          <w:sz w:val="32"/>
          <w:szCs w:val="32"/>
          <w:lang w:val="zh-CN" w:eastAsia="zh-CN"/>
        </w:rPr>
        <w:t>严格执行《政府采购促进中小企业发展管理办法》，优先面向中小企业采购，确保政策落实到位。在采购执行过程中，严格履行采购程序，强化合同履约管理，政府采购资金支付均按时完成，支付效率达100%。同时，动态跟踪采购执行进度，确保采购计划与预算执行有效衔接，实现采购执行率100%，切实提升财政资金使用效益。</w:t>
      </w:r>
    </w:p>
    <w:p>
      <w:pPr>
        <w:adjustRightInd w:val="0"/>
        <w:snapToGrid w:val="0"/>
        <w:spacing w:line="578" w:lineRule="exact"/>
        <w:ind w:firstLineChars="200" w:firstLine="640"/>
        <w:contextualSpacing/>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p>
    <w:p>
      <w:pPr>
        <w:adjustRightInd w:val="0"/>
        <w:snapToGrid w:val="0"/>
        <w:spacing w:line="578" w:lineRule="exact"/>
        <w:ind w:firstLineChars="200" w:firstLine="640"/>
        <w:contextualSpacing/>
        <w:rPr>
          <w:rFonts w:eastAsia="仿宋_GB2312" w:cs="仿宋_GB2312" w:hint="eastAsia"/>
          <w:sz w:val="32"/>
          <w:szCs w:val="32"/>
          <w:lang w:val="zh-CN"/>
        </w:rPr>
      </w:pPr>
      <w:r>
        <w:rPr>
          <w:rFonts w:eastAsia="仿宋_GB2312" w:cs="仿宋_GB2312" w:hint="eastAsia"/>
          <w:sz w:val="32"/>
          <w:szCs w:val="32"/>
          <w:lang w:val="zh-CN"/>
        </w:rPr>
        <w:t>常年项目绩效分析。该类项目总数</w:t>
      </w:r>
      <w:r>
        <w:rPr>
          <w:rFonts w:eastAsia="仿宋_GB2312" w:cs="仿宋_GB2312" w:hint="eastAsia"/>
          <w:sz w:val="32"/>
          <w:szCs w:val="32"/>
          <w:lang w:val="en-US" w:eastAsia="zh-CN"/>
        </w:rPr>
        <w:t>1</w:t>
      </w:r>
      <w:r>
        <w:rPr>
          <w:rFonts w:eastAsia="仿宋_GB2312" w:cs="仿宋_GB2312"/>
          <w:sz w:val="32"/>
          <w:szCs w:val="32"/>
          <w:lang w:eastAsia="zh-CN"/>
        </w:rPr>
        <w:t>6</w:t>
      </w:r>
      <w:r>
        <w:rPr>
          <w:rFonts w:eastAsia="仿宋_GB2312" w:cs="仿宋_GB2312" w:hint="eastAsia"/>
          <w:sz w:val="32"/>
          <w:szCs w:val="32"/>
          <w:lang w:val="zh-CN"/>
        </w:rPr>
        <w:t>个，涉及预算总额</w:t>
      </w:r>
      <w:r>
        <w:rPr>
          <w:rFonts w:eastAsia="仿宋_GB2312" w:cs="仿宋_GB2312" w:hint="eastAsia"/>
          <w:sz w:val="32"/>
          <w:szCs w:val="32"/>
          <w:lang w:val="en-US" w:eastAsia="zh-CN"/>
        </w:rPr>
        <w:t>3</w:t>
      </w:r>
      <w:r>
        <w:rPr>
          <w:rFonts w:eastAsia="仿宋_GB2312" w:cs="仿宋_GB2312"/>
          <w:sz w:val="32"/>
          <w:szCs w:val="32"/>
          <w:lang w:eastAsia="zh-CN"/>
        </w:rPr>
        <w:t>,</w:t>
      </w:r>
      <w:r>
        <w:rPr>
          <w:rFonts w:eastAsia="仿宋_GB2312" w:cs="仿宋_GB2312" w:hint="eastAsia"/>
          <w:sz w:val="32"/>
          <w:szCs w:val="32"/>
          <w:lang w:val="en-US" w:eastAsia="zh-CN"/>
        </w:rPr>
        <w:t>7</w:t>
      </w:r>
      <w:r>
        <w:rPr>
          <w:rFonts w:eastAsia="仿宋_GB2312" w:cs="仿宋_GB2312"/>
          <w:sz w:val="32"/>
          <w:szCs w:val="32"/>
          <w:lang w:eastAsia="zh-CN"/>
        </w:rPr>
        <w:t>52.66</w:t>
      </w:r>
      <w:r>
        <w:rPr>
          <w:rFonts w:eastAsia="仿宋_GB2312" w:cs="仿宋_GB2312" w:hint="eastAsia"/>
          <w:sz w:val="32"/>
          <w:szCs w:val="32"/>
          <w:lang w:val="zh-CN"/>
        </w:rPr>
        <w:t>万元，1—12月预算执行总体进度为</w:t>
      </w:r>
      <w:r>
        <w:rPr>
          <w:rFonts w:eastAsia="仿宋_GB2312" w:cs="仿宋_GB2312"/>
          <w:sz w:val="32"/>
          <w:szCs w:val="32"/>
          <w:lang w:eastAsia="zh-CN"/>
        </w:rPr>
        <w:t>100</w:t>
      </w:r>
      <w:r>
        <w:rPr>
          <w:rFonts w:eastAsia="仿宋_GB2312" w:cs="仿宋_GB2312" w:hint="eastAsia"/>
          <w:sz w:val="32"/>
          <w:szCs w:val="32"/>
          <w:lang w:val="zh-CN"/>
        </w:rPr>
        <w:t>%，其中：预算结余率大于10%的项目共计</w:t>
      </w:r>
      <w:r>
        <w:rPr>
          <w:rFonts w:eastAsia="仿宋_GB2312" w:cs="仿宋_GB2312" w:hint="eastAsia"/>
          <w:sz w:val="32"/>
          <w:szCs w:val="32"/>
          <w:lang w:val="en-US" w:eastAsia="zh-CN"/>
        </w:rPr>
        <w:t>0</w:t>
      </w:r>
      <w:r>
        <w:rPr>
          <w:rFonts w:eastAsia="仿宋_GB2312" w:cs="仿宋_GB2312" w:hint="eastAsia"/>
          <w:sz w:val="32"/>
          <w:szCs w:val="32"/>
          <w:lang w:val="zh-CN"/>
        </w:rPr>
        <w:t>个。</w:t>
      </w:r>
    </w:p>
    <w:p>
      <w:pPr>
        <w:adjustRightInd w:val="0"/>
        <w:snapToGrid w:val="0"/>
        <w:spacing w:line="578" w:lineRule="exact"/>
        <w:ind w:firstLineChars="200" w:firstLine="640"/>
        <w:contextualSpacing/>
        <w:rPr>
          <w:rFonts w:eastAsia="仿宋_GB2312" w:cs="仿宋_GB2312" w:hint="eastAsia"/>
          <w:sz w:val="32"/>
          <w:szCs w:val="32"/>
          <w:lang w:val="zh-CN"/>
        </w:rPr>
      </w:pPr>
      <w:r>
        <w:rPr>
          <w:rFonts w:eastAsia="仿宋_GB2312" w:cs="仿宋_GB2312" w:hint="eastAsia"/>
          <w:sz w:val="32"/>
          <w:szCs w:val="32"/>
          <w:lang w:val="zh-CN"/>
        </w:rPr>
        <w:t>阶段（含一次性）项目绩效分析。该类项目总数</w:t>
      </w:r>
      <w:r>
        <w:rPr>
          <w:rFonts w:eastAsia="仿宋_GB2312" w:cs="仿宋_GB2312"/>
          <w:sz w:val="32"/>
          <w:szCs w:val="32"/>
          <w:lang w:eastAsia="zh-CN"/>
        </w:rPr>
        <w:t>2</w:t>
      </w:r>
      <w:r>
        <w:rPr>
          <w:rFonts w:eastAsia="仿宋_GB2312" w:cs="仿宋_GB2312" w:hint="eastAsia"/>
          <w:sz w:val="32"/>
          <w:szCs w:val="32"/>
          <w:lang w:val="zh-CN"/>
        </w:rPr>
        <w:t>个，涉及预算总金额</w:t>
      </w:r>
      <w:r>
        <w:rPr>
          <w:rFonts w:eastAsia="仿宋_GB2312" w:cs="仿宋_GB2312"/>
          <w:sz w:val="32"/>
          <w:szCs w:val="32"/>
          <w:lang w:eastAsia="zh-CN"/>
        </w:rPr>
        <w:t>17.01</w:t>
      </w:r>
      <w:r>
        <w:rPr>
          <w:rFonts w:eastAsia="仿宋_GB2312" w:cs="仿宋_GB2312" w:hint="eastAsia"/>
          <w:sz w:val="32"/>
          <w:szCs w:val="32"/>
          <w:lang w:val="zh-CN"/>
        </w:rPr>
        <w:t>万元，1—12月预算执行总体进度为</w:t>
      </w:r>
      <w:r>
        <w:rPr>
          <w:rFonts w:eastAsia="仿宋_GB2312" w:cs="仿宋_GB2312" w:hint="eastAsia"/>
          <w:sz w:val="32"/>
          <w:szCs w:val="32"/>
          <w:lang w:val="en-US" w:eastAsia="zh-CN"/>
        </w:rPr>
        <w:t>100</w:t>
      </w:r>
      <w:r>
        <w:rPr>
          <w:rFonts w:eastAsia="仿宋_GB2312" w:cs="仿宋_GB2312" w:hint="eastAsia"/>
          <w:sz w:val="32"/>
          <w:szCs w:val="32"/>
          <w:lang w:val="zh-CN"/>
        </w:rPr>
        <w:t>%，其中：预算结余率大于10%的项目共计</w:t>
      </w:r>
      <w:r>
        <w:rPr>
          <w:rFonts w:eastAsia="仿宋_GB2312" w:cs="仿宋_GB2312" w:hint="eastAsia"/>
          <w:sz w:val="32"/>
          <w:szCs w:val="32"/>
          <w:lang w:val="en-US" w:eastAsia="zh-CN"/>
        </w:rPr>
        <w:t>0</w:t>
      </w:r>
      <w:r>
        <w:rPr>
          <w:rFonts w:eastAsia="仿宋_GB2312" w:cs="仿宋_GB2312" w:hint="eastAsia"/>
          <w:sz w:val="32"/>
          <w:szCs w:val="32"/>
          <w:lang w:val="zh-CN"/>
        </w:rPr>
        <w:t>个。</w:t>
      </w:r>
    </w:p>
    <w:p>
      <w:pPr>
        <w:adjustRightInd w:val="0"/>
        <w:snapToGrid w:val="0"/>
        <w:spacing w:line="578" w:lineRule="exact"/>
        <w:ind w:left="0" w:firstLineChars="200" w:firstLine="640"/>
        <w:contextualSpacing/>
        <w:jc w:val="left"/>
        <w:rPr>
          <w:rFonts w:eastAsia="仿宋_GB2312" w:cs="仿宋_GB2312" w:hint="eastAsia"/>
          <w:sz w:val="32"/>
          <w:szCs w:val="32"/>
          <w:lang w:val="zh-CN" w:eastAsia="zh-CN"/>
        </w:rPr>
      </w:pPr>
      <w:r>
        <w:rPr>
          <w:rFonts w:eastAsia="仿宋_GB2312" w:cs="仿宋_GB2312" w:hint="eastAsia"/>
          <w:sz w:val="32"/>
          <w:szCs w:val="32"/>
        </w:rPr>
        <w:t>1.</w:t>
      </w:r>
      <w:r>
        <w:rPr>
          <w:rFonts w:eastAsia="仿宋_GB2312" w:cs="仿宋_GB2312" w:hint="eastAsia"/>
          <w:sz w:val="32"/>
          <w:szCs w:val="32"/>
          <w:lang w:val="zh-CN"/>
        </w:rPr>
        <w:t>项目决策。</w:t>
      </w:r>
      <w:r>
        <w:rPr>
          <w:rFonts w:eastAsia="仿宋_GB2312" w:cs="仿宋_GB2312" w:hint="eastAsia"/>
          <w:sz w:val="32"/>
          <w:szCs w:val="32"/>
          <w:lang w:val="zh-CN" w:eastAsia="zh-CN"/>
        </w:rPr>
        <w:t>坚持科学民主决策，由业务科室提出建议，党组会议集体研究审定，科学合理编制部门预算，对各项经费进一步细化、分类施控、严格执行，实现经济活动全程管控，确保各项工作在预算范围内有序开展，有效保障单位职能履行。推进财务工作全面流程化管理，在专项资金分配、预算编制、财务审批报销、资产管理、经济合同管理及政府采购等方面，全面实施流程化、规范化管理，制定完善《攀枝花市退役军人事务局财务管理制度》，严格执行大额资金审批、经济合同审批等关键环节。严格按程序和时限分配资金，逐项明确资金分配方案与流程，并按照上级要求完成项目入库管理，切实提升资金使用规范性和安全性。</w:t>
      </w:r>
    </w:p>
    <w:p>
      <w:pPr>
        <w:adjustRightInd w:val="0"/>
        <w:snapToGrid w:val="0"/>
        <w:spacing w:line="600" w:lineRule="exact"/>
        <w:ind w:firstLineChars="100" w:firstLine="320"/>
        <w:rPr>
          <w:rFonts w:eastAsia="仿宋_GB2312" w:cs="仿宋_GB2312"/>
          <w:sz w:val="32"/>
          <w:szCs w:val="32"/>
          <w:lang w:eastAsia="zh-CN"/>
        </w:rPr>
      </w:pPr>
      <w:r>
        <w:rPr>
          <w:rFonts w:eastAsia="仿宋_GB2312" w:cs="仿宋_GB2312" w:hint="eastAsia"/>
          <w:sz w:val="32"/>
          <w:szCs w:val="32"/>
        </w:rPr>
        <w:t>2.项目执行</w:t>
      </w:r>
      <w:r>
        <w:rPr>
          <w:rFonts w:eastAsia="仿宋_GB2312" w:cs="仿宋_GB2312" w:hint="eastAsia"/>
          <w:sz w:val="32"/>
          <w:szCs w:val="32"/>
          <w:lang w:val="zh-CN"/>
        </w:rPr>
        <w:t>。</w:t>
      </w:r>
      <w:r>
        <w:rPr>
          <w:rFonts w:eastAsia="仿宋_GB2312" w:cs="仿宋_GB2312" w:hint="eastAsia"/>
          <w:sz w:val="32"/>
          <w:szCs w:val="32"/>
          <w:lang w:val="zh-CN" w:eastAsia="zh-CN"/>
        </w:rPr>
        <w:t>（1）人员类项目。主要为干部职工工资、津补贴、基础绩效奖、保险及公积金。本年度人员类支出</w:t>
      </w:r>
      <w:r>
        <w:rPr>
          <w:rFonts w:eastAsia="仿宋_GB2312" w:cs="仿宋_GB2312" w:hint="eastAsia"/>
          <w:sz w:val="32"/>
          <w:szCs w:val="32"/>
          <w:lang w:val="en-US" w:eastAsia="zh-CN"/>
        </w:rPr>
        <w:t>931.03万</w:t>
      </w:r>
      <w:r>
        <w:rPr>
          <w:rFonts w:eastAsia="仿宋_GB2312" w:cs="仿宋_GB2312" w:hint="eastAsia"/>
          <w:sz w:val="32"/>
          <w:szCs w:val="32"/>
          <w:lang w:val="zh-CN" w:eastAsia="zh-CN"/>
        </w:rPr>
        <w:t>元，预算完成</w:t>
      </w:r>
      <w:r>
        <w:rPr>
          <w:rFonts w:eastAsia="仿宋_GB2312" w:cs="仿宋_GB2312" w:hint="eastAsia"/>
          <w:sz w:val="32"/>
          <w:szCs w:val="32"/>
          <w:lang w:val="en-US" w:eastAsia="zh-CN"/>
        </w:rPr>
        <w:t>100％</w:t>
      </w:r>
      <w:r>
        <w:rPr>
          <w:rFonts w:eastAsia="仿宋_GB2312" w:cs="仿宋_GB2312" w:hint="eastAsia"/>
          <w:sz w:val="32"/>
          <w:szCs w:val="32"/>
          <w:lang w:val="zh-CN" w:eastAsia="zh-CN"/>
        </w:rPr>
        <w:t>。（2）运转类项目。主要为公用经费，用于单位日常运转经费，保障各项工作有序开展，从而更好地为退役军人提供服务保障。本年度运转类支出</w:t>
      </w:r>
      <w:r>
        <w:rPr>
          <w:rFonts w:eastAsia="仿宋_GB2312" w:cs="仿宋_GB2312" w:hint="eastAsia"/>
          <w:sz w:val="32"/>
          <w:szCs w:val="32"/>
          <w:lang w:val="en-US" w:eastAsia="zh-CN"/>
        </w:rPr>
        <w:t>91.35万</w:t>
      </w:r>
      <w:r>
        <w:rPr>
          <w:rFonts w:eastAsia="仿宋_GB2312" w:cs="仿宋_GB2312" w:hint="eastAsia"/>
          <w:sz w:val="32"/>
          <w:szCs w:val="32"/>
          <w:lang w:val="zh-CN" w:eastAsia="zh-CN"/>
        </w:rPr>
        <w:t>元，预算完成</w:t>
      </w:r>
      <w:r>
        <w:rPr>
          <w:rFonts w:eastAsia="仿宋_GB2312" w:cs="仿宋_GB2312" w:hint="eastAsia"/>
          <w:sz w:val="32"/>
          <w:szCs w:val="32"/>
          <w:lang w:val="en-US" w:eastAsia="zh-CN"/>
        </w:rPr>
        <w:t>100％，</w:t>
      </w:r>
      <w:r>
        <w:rPr>
          <w:rFonts w:eastAsia="仿宋_GB2312" w:cs="仿宋_GB2312"/>
          <w:sz w:val="32"/>
          <w:szCs w:val="32"/>
          <w:lang w:eastAsia="zh-CN"/>
        </w:rPr>
        <w:t>2025</w:t>
      </w:r>
      <w:r>
        <w:rPr>
          <w:rFonts w:eastAsia="仿宋_GB2312" w:cs="仿宋_GB2312" w:hint="eastAsia"/>
          <w:sz w:val="32"/>
          <w:szCs w:val="32"/>
          <w:lang w:eastAsia="zh-CN"/>
        </w:rPr>
        <w:t>年度部门政府采购支出</w:t>
      </w:r>
      <w:r>
        <w:rPr>
          <w:rFonts w:eastAsia="仿宋_GB2312" w:cs="仿宋_GB2312" w:hint="eastAsia"/>
          <w:sz w:val="32"/>
          <w:szCs w:val="32"/>
          <w:lang w:val="en-US" w:eastAsia="zh-CN"/>
        </w:rPr>
        <w:t>44.28万元，政府采购授予中小企业合同金额3.83万元，其中：授予小微企业合同金额2.83万元</w:t>
      </w:r>
      <w:r>
        <w:rPr>
          <w:rFonts w:eastAsia="仿宋_GB2312" w:cs="仿宋_GB2312" w:hint="eastAsia"/>
          <w:sz w:val="32"/>
          <w:szCs w:val="32"/>
          <w:lang w:val="zh-CN" w:eastAsia="zh-CN"/>
        </w:rPr>
        <w:t>。（</w:t>
      </w:r>
      <w:r>
        <w:rPr>
          <w:rFonts w:eastAsia="仿宋_GB2312" w:cs="仿宋_GB2312" w:hint="eastAsia"/>
          <w:sz w:val="32"/>
          <w:szCs w:val="32"/>
          <w:lang w:val="en-US" w:eastAsia="zh-CN"/>
        </w:rPr>
        <w:t>3）特定项目。主要为企业军转干部、优抚对象、军休干部等服务对象提供生活、医疗等保障、开展转业干部、转业士官培训、为过往部队供应军用饮食等服务，本年度支出3</w:t>
      </w:r>
      <w:r>
        <w:rPr>
          <w:rFonts w:eastAsia="仿宋_GB2312" w:cs="仿宋_GB2312"/>
          <w:sz w:val="32"/>
          <w:szCs w:val="32"/>
          <w:lang w:eastAsia="zh-CN"/>
        </w:rPr>
        <w:t>,</w:t>
      </w:r>
      <w:r>
        <w:rPr>
          <w:rFonts w:eastAsia="仿宋_GB2312" w:cs="仿宋_GB2312" w:hint="eastAsia"/>
          <w:sz w:val="32"/>
          <w:szCs w:val="32"/>
          <w:lang w:val="en-US" w:eastAsia="zh-CN"/>
        </w:rPr>
        <w:t>739.67万元,预算完成率</w:t>
      </w:r>
      <w:r>
        <w:rPr>
          <w:rFonts w:eastAsia="仿宋_GB2312" w:cs="仿宋_GB2312"/>
          <w:sz w:val="32"/>
          <w:szCs w:val="32"/>
          <w:lang w:eastAsia="zh-CN"/>
        </w:rPr>
        <w:t>100</w:t>
      </w:r>
      <w:r>
        <w:rPr>
          <w:rFonts w:eastAsia="仿宋_GB2312" w:cs="仿宋_GB2312" w:hint="eastAsia"/>
          <w:sz w:val="32"/>
          <w:szCs w:val="32"/>
          <w:lang w:val="en-US" w:eastAsia="zh-CN"/>
        </w:rPr>
        <w:t>％，2025年度其他政府性基金债务收入安排的支出11.11万元，主要用于支付武警军史文化长廊改造项目尾款。</w:t>
      </w:r>
    </w:p>
    <w:p>
      <w:pPr>
        <w:adjustRightInd w:val="0"/>
        <w:snapToGrid w:val="0"/>
        <w:spacing w:line="600" w:lineRule="exact"/>
        <w:ind w:firstLineChars="100" w:firstLine="320"/>
        <w:rPr>
          <w:rFonts w:eastAsia="仿宋_GB2312" w:cs="仿宋_GB2312" w:hint="eastAsia"/>
          <w:sz w:val="32"/>
          <w:szCs w:val="32"/>
          <w:lang w:val="zh-CN" w:eastAsia="zh-CN"/>
        </w:rPr>
      </w:pPr>
      <w:r>
        <w:rPr>
          <w:rFonts w:eastAsia="仿宋_GB2312" w:cs="仿宋_GB2312" w:hint="eastAsia"/>
          <w:sz w:val="32"/>
          <w:szCs w:val="32"/>
        </w:rPr>
        <w:t>3.</w:t>
      </w:r>
      <w:r>
        <w:rPr>
          <w:rFonts w:eastAsia="仿宋_GB2312" w:cs="仿宋_GB2312" w:hint="eastAsia"/>
          <w:sz w:val="32"/>
          <w:szCs w:val="32"/>
          <w:lang w:val="zh-CN"/>
        </w:rPr>
        <w:t>目标实现。</w:t>
      </w:r>
      <w:r>
        <w:rPr>
          <w:rFonts w:eastAsia="仿宋_GB2312" w:cs="仿宋_GB2312" w:hint="eastAsia"/>
          <w:sz w:val="32"/>
          <w:szCs w:val="32"/>
          <w:lang w:val="en-US" w:eastAsia="zh-CN"/>
        </w:rPr>
        <w:t>2025年，攀枝花市退役军人事务系统深入贯彻习近平总书记关于退役军人工作重要论述，认真落实退役军人事务厅和市委、市政府决策部署，坚持以学习宣传贯彻党的二十大</w:t>
      </w:r>
      <w:bookmarkStart w:id="123" w:name="_GoBack"/>
      <w:bookmarkEnd w:id="123"/>
      <w:r>
        <w:rPr>
          <w:rFonts w:eastAsia="仿宋_GB2312" w:cs="仿宋_GB2312" w:hint="eastAsia"/>
          <w:sz w:val="32"/>
          <w:szCs w:val="32"/>
          <w:lang w:val="en-US" w:eastAsia="zh-CN"/>
        </w:rPr>
        <w:t>和二十届三中全会精神为主线，以推动退役军人工作高质量发展为主题，真抓实干、攻坚克难，各项工作迈出新步伐，取得新成效。</w:t>
      </w:r>
    </w:p>
    <w:p>
      <w:pPr>
        <w:autoSpaceDE w:val="0"/>
        <w:autoSpaceDN w:val="0"/>
        <w:adjustRightInd w:val="0"/>
        <w:spacing w:line="600" w:lineRule="exact"/>
        <w:ind w:left="0" w:firstLineChars="200" w:firstLine="640"/>
        <w:jc w:val="left"/>
        <w:rPr>
          <w:rFonts w:eastAsia="仿宋_GB2312" w:cs="仿宋_GB2312"/>
          <w:sz w:val="32"/>
          <w:szCs w:val="32"/>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eastAsia="楷体_GB2312" w:hint="eastAsia"/>
          <w:b/>
          <w:bCs/>
          <w:color w:val="000000"/>
          <w:kern w:val="0"/>
          <w:sz w:val="32"/>
          <w:szCs w:val="32"/>
          <w:shd w:val="clear" w:color="auto" w:fill="FFFFFF"/>
          <w:lang w:val="zh-CN"/>
        </w:rPr>
        <w:t>。</w:t>
      </w:r>
      <w:r>
        <w:rPr>
          <w:rFonts w:eastAsia="仿宋_GB2312" w:cs="仿宋_GB2312" w:hint="eastAsia"/>
          <w:sz w:val="32"/>
          <w:szCs w:val="32"/>
          <w:lang w:val="zh-CN" w:eastAsia="zh-CN"/>
        </w:rPr>
        <w:t>本部门</w:t>
      </w:r>
      <w:r>
        <w:rPr>
          <w:rFonts w:eastAsia="仿宋_GB2312" w:cs="仿宋_GB2312" w:hint="eastAsia"/>
          <w:sz w:val="32"/>
          <w:szCs w:val="32"/>
          <w:lang w:val="en-US" w:eastAsia="zh-CN"/>
        </w:rPr>
        <w:t>认真贯彻落实省、市财政部门关于加强预算绩效管理工作的各项要求，稳步推进财政支出绩效评价。严格做好预算绩效结果运用，将绩效评价结果与预算编制、资金安排、项目管理紧密挂钩，把绩效监控和评价结论作为优化资金分配、调整项目实施的重要依据。对绩效完成好、执行效率高的项目，重点给予资金保障；对绩效目标未达要求、资金使用效益不高的，及时分析原因、整改纠偏，动态优化支出结构。坚持绩效结果与内部管理、制度完善相结合，将绩效理念贯穿预算编制、执行、监督全过程，切实把绩效成果转化为提升财务管理水平、规范资金运行、强化服务保障能力的实际成效，不断提高财政资金使用效益。</w:t>
      </w:r>
    </w:p>
    <w:p>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bookmarkStart w:id="124" w:name="_Toc445020105_WPSOffice_Level2"/>
      <w:bookmarkStart w:id="125" w:name="_Toc336104076_WPSOffice_Level2"/>
      <w:bookmarkStart w:id="126" w:name="_Toc475097517_WPSOffice_Level2"/>
      <w:bookmarkStart w:id="127" w:name="_Toc224909035_WPSOffice_Level2"/>
      <w:r>
        <w:rPr>
          <w:rFonts w:eastAsia="黑体"/>
          <w:color w:val="000000"/>
          <w:kern w:val="0"/>
          <w:sz w:val="32"/>
          <w:szCs w:val="32"/>
          <w:shd w:val="clear" w:color="auto" w:fill="FFFFFF"/>
          <w:lang w:val="zh-CN"/>
        </w:rPr>
        <w:t>四、评价结论及建议</w:t>
      </w:r>
      <w:bookmarkEnd w:id="124"/>
      <w:bookmarkEnd w:id="125"/>
      <w:bookmarkEnd w:id="126"/>
      <w:bookmarkEnd w:id="127"/>
    </w:p>
    <w:p>
      <w:pPr>
        <w:pStyle w:val="21"/>
        <w:spacing w:line="600" w:lineRule="exact"/>
        <w:ind w:left="0" w:firstLineChars="200" w:firstLine="640"/>
        <w:jc w:val="left"/>
        <w:rPr>
          <w:rFonts w:ascii="仿宋_GB2312" w:eastAsia="仿宋_GB2312" w:cs="仿宋_GB2312" w:hint="eastAsia"/>
          <w:sz w:val="32"/>
          <w:szCs w:val="32"/>
        </w:rPr>
      </w:pPr>
      <w:r>
        <w:rPr>
          <w:rFonts w:eastAsia="楷体_GB2312"/>
          <w:b/>
          <w:bCs/>
          <w:color w:val="000000"/>
          <w:kern w:val="0"/>
          <w:sz w:val="32"/>
          <w:szCs w:val="32"/>
          <w:shd w:val="clear" w:color="auto" w:fill="FFFFFF"/>
          <w:lang w:val="zh-CN"/>
        </w:rPr>
        <w:t>（一）评价结论。</w:t>
      </w:r>
      <w:r>
        <w:rPr>
          <w:rFonts w:ascii="仿宋_GB2312" w:eastAsia="仿宋_GB2312" w:cs="仿宋_GB2312" w:hint="eastAsia"/>
          <w:sz w:val="32"/>
          <w:szCs w:val="32"/>
        </w:rPr>
        <w:t>根据部门整体支出管理绩效项目进行综合评价，部门整体支出绩效总体较好。对财政资金的使用能够严格按照行政单位会计制度及财政相关规定执行</w:t>
      </w:r>
      <w:r>
        <w:rPr>
          <w:rFonts w:ascii="仿宋_GB2312" w:eastAsia="仿宋_GB2312" w:cs="仿宋_GB2312" w:hint="eastAsia"/>
          <w:sz w:val="32"/>
          <w:szCs w:val="32"/>
          <w:lang w:eastAsia="zh-CN"/>
        </w:rPr>
        <w:t>，</w:t>
      </w:r>
      <w:r>
        <w:rPr>
          <w:rFonts w:ascii="仿宋_GB2312" w:eastAsia="仿宋_GB2312" w:cs="仿宋_GB2312" w:hint="eastAsia"/>
          <w:sz w:val="32"/>
          <w:szCs w:val="32"/>
        </w:rPr>
        <w:t>部门整体自评</w:t>
      </w:r>
      <w:r>
        <w:rPr>
          <w:rFonts w:ascii="仿宋_GB2312" w:cs="仿宋_GB2312" w:hAnsi="仿宋_GB2312" w:hint="eastAsia"/>
          <w:sz w:val="32"/>
          <w:szCs w:val="32"/>
          <w:lang w:val="en-US" w:eastAsia="zh-CN"/>
        </w:rPr>
        <w:t>91</w:t>
      </w:r>
      <w:r>
        <w:rPr>
          <w:rFonts w:ascii="仿宋_GB2312" w:eastAsia="仿宋_GB2312" w:cs="仿宋_GB2312" w:hint="eastAsia"/>
          <w:sz w:val="32"/>
          <w:szCs w:val="32"/>
        </w:rPr>
        <w:t>分。</w:t>
      </w:r>
    </w:p>
    <w:p>
      <w:pPr>
        <w:pStyle w:val="21"/>
        <w:spacing w:line="600" w:lineRule="exact"/>
        <w:ind w:left="0" w:firstLineChars="200" w:firstLine="640"/>
        <w:jc w:val="left"/>
        <w:rPr>
          <w:rFonts w:ascii="仿宋_GB2312" w:eastAsia="仿宋_GB2312" w:cs="仿宋_GB2312"/>
          <w:sz w:val="32"/>
          <w:szCs w:val="32"/>
          <w:lang w:val="en-US" w:eastAsia="zh-CN"/>
        </w:rPr>
      </w:pPr>
      <w:r>
        <w:rPr>
          <w:rFonts w:eastAsia="楷体_GB2312"/>
          <w:b/>
          <w:bCs/>
          <w:color w:val="000000"/>
          <w:kern w:val="0"/>
          <w:sz w:val="32"/>
          <w:szCs w:val="32"/>
          <w:shd w:val="clear" w:color="auto" w:fill="FFFFFF"/>
          <w:lang w:val="zh-CN"/>
        </w:rPr>
        <w:t>（二）存在问题。</w:t>
      </w:r>
      <w:r>
        <w:rPr>
          <w:rFonts w:ascii="仿宋_GB2312" w:eastAsia="仿宋_GB2312" w:cs="仿宋_GB2312" w:hint="eastAsia"/>
          <w:sz w:val="32"/>
          <w:szCs w:val="32"/>
          <w:lang w:eastAsia="zh-CN"/>
        </w:rPr>
        <w:t>本年度存在预算追加的情况，影响了预算的控制与执行，预算编制的合理性需进一步提高。</w:t>
      </w:r>
    </w:p>
    <w:p>
      <w:pPr>
        <w:widowControl/>
        <w:adjustRightInd w:val="0"/>
        <w:snapToGrid w:val="0"/>
        <w:spacing w:line="580" w:lineRule="exact"/>
        <w:ind w:firstLineChars="200" w:firstLine="640"/>
        <w:contextualSpacing/>
        <w:jc w:val="left"/>
        <w:rPr>
          <w:rFonts w:ascii="仿宋_GB2312" w:eastAsia="仿宋_GB2312" w:cs="仿宋_GB2312" w:hint="eastAsia"/>
          <w:kern w:val="2"/>
          <w:sz w:val="32"/>
          <w:szCs w:val="32"/>
          <w:lang w:val="zh-CN" w:eastAsia="zh-CN" w:bidi="ar-SA"/>
        </w:rPr>
      </w:pPr>
      <w:r>
        <w:rPr>
          <w:rFonts w:eastAsia="楷体_GB2312"/>
          <w:b/>
          <w:bCs/>
          <w:color w:val="000000"/>
          <w:kern w:val="0"/>
          <w:sz w:val="32"/>
          <w:szCs w:val="32"/>
          <w:shd w:val="clear" w:color="auto" w:fill="FFFFFF"/>
          <w:lang w:val="zh-CN"/>
        </w:rPr>
        <w:t>（三）改进建议。</w:t>
      </w:r>
      <w:bookmarkStart w:id="128" w:name="_Hlk110546638"/>
      <w:r>
        <w:rPr>
          <w:rFonts w:ascii="仿宋_GB2312" w:eastAsia="仿宋_GB2312" w:cs="仿宋_GB2312" w:hint="eastAsia"/>
          <w:kern w:val="2"/>
          <w:sz w:val="32"/>
          <w:szCs w:val="32"/>
          <w:lang w:val="en-US" w:eastAsia="zh-CN" w:bidi="ar-SA"/>
        </w:rPr>
        <w:t>强化绩效管理考核，将绩效考核目标任务层层分解落实，加强重点工作督查，对重点工作加强日常监管，开展专项督查及建立健全绩效问责机制，充分体现财政资金使用主体责任。</w:t>
      </w:r>
    </w:p>
    <w:p>
      <w:pPr>
        <w:widowControl/>
        <w:adjustRightInd w:val="0"/>
        <w:snapToGrid w:val="0"/>
        <w:spacing w:line="578" w:lineRule="exact"/>
        <w:ind w:firstLineChars="200" w:firstLine="640"/>
        <w:contextualSpacing/>
        <w:jc w:val="left"/>
        <w:rPr>
          <w:rFonts w:eastAsia="仿宋_GB2312"/>
          <w:sz w:val="32"/>
          <w:szCs w:val="32"/>
        </w:rPr>
      </w:pPr>
    </w:p>
    <w:p>
      <w:pPr>
        <w:pStyle w:val="19"/>
        <w:spacing w:line="560" w:lineRule="exact"/>
        <w:ind w:leftChars="0" w:left="0"/>
        <w:rPr>
          <w:rFonts w:ascii="Times New Roman" w:eastAsia="仿宋_GB2312" w:hAnsi="Times New Roman"/>
          <w:sz w:val="32"/>
          <w:lang w:val="zh-CN"/>
        </w:rPr>
      </w:pPr>
      <w:bookmarkEnd w:id="128"/>
    </w:p>
    <w:p>
      <w:pPr>
        <w:pStyle w:val="19"/>
        <w:spacing w:line="560" w:lineRule="exact"/>
        <w:ind w:leftChars="0" w:left="0"/>
        <w:rPr>
          <w:rFonts w:ascii="Times New Roman" w:eastAsia="仿宋_GB2312" w:hAnsi="Times New Roman"/>
          <w:sz w:val="32"/>
        </w:rPr>
      </w:pPr>
      <w:r>
        <w:rPr>
          <w:rFonts w:ascii="Times New Roman" w:eastAsia="仿宋_GB2312" w:hAnsi="Times New Roman" w:hint="eastAsia"/>
          <w:sz w:val="32"/>
          <w:lang w:val="zh-CN"/>
        </w:rPr>
        <w:t>附表：</w:t>
      </w:r>
      <w:r>
        <w:rPr>
          <w:rFonts w:ascii="Times New Roman" w:eastAsia="仿宋_GB2312" w:hAnsi="Times New Roman" w:hint="eastAsia"/>
          <w:sz w:val="32"/>
        </w:rPr>
        <w:t>部门预算项目支出绩效自评表（2025年度）</w:t>
      </w:r>
    </w:p>
    <w:p>
      <w:pPr>
        <w:rPr>
          <w:rFonts w:ascii="Times New Roman" w:eastAsia="仿宋_GB2312" w:hAnsi="Times New Roman" w:hint="eastAsia"/>
          <w:sz w:val="32"/>
        </w:rPr>
      </w:pPr>
    </w:p>
    <w:p>
      <w:pPr>
        <w:pStyle w:val="30"/>
        <w:rPr>
          <w:rFonts w:hint="eastAsia"/>
        </w:rPr>
      </w:pPr>
    </w:p>
    <w:p>
      <w:pPr>
        <w:rPr>
          <w:rFonts w:hint="eastAsia"/>
        </w:rPr>
      </w:pPr>
    </w:p>
    <w:p>
      <w:pPr>
        <w:pStyle w:val="16"/>
        <w:rPr>
          <w:rFonts w:hint="eastAsia"/>
        </w:rPr>
      </w:pPr>
    </w:p>
    <w:p>
      <w:pPr>
        <w:rPr>
          <w:rFonts w:hint="eastAsia"/>
        </w:rPr>
      </w:pPr>
    </w:p>
    <w:p>
      <w:pPr>
        <w:pStyle w:val="16"/>
        <w:rPr>
          <w:rFonts w:hint="eastAsia"/>
        </w:rPr>
      </w:pPr>
    </w:p>
    <w:p>
      <w:pPr>
        <w:rPr>
          <w:rFonts w:hint="eastAsia"/>
        </w:rPr>
      </w:pPr>
    </w:p>
    <w:p>
      <w:pPr>
        <w:rPr>
          <w:rFonts w:hint="eastAsia"/>
        </w:rPr>
      </w:pPr>
    </w:p>
    <w:p>
      <w:pPr>
        <w:rPr>
          <w:lang w:val="zh-CN"/>
        </w:rPr>
      </w:pPr>
    </w:p>
    <w:tbl>
      <w:tblPr>
        <w:jc w:val="left"/>
        <w:tblInd w:w="0" w:type="dxa"/>
        <w:tblW w:w="4998"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568"/>
        <w:gridCol w:w="1029"/>
        <w:gridCol w:w="866"/>
        <w:gridCol w:w="1162"/>
        <w:gridCol w:w="395"/>
        <w:gridCol w:w="809"/>
        <w:gridCol w:w="392"/>
        <w:gridCol w:w="883"/>
        <w:gridCol w:w="479"/>
        <w:gridCol w:w="479"/>
        <w:gridCol w:w="1345"/>
      </w:tblGrid>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51040022T000000394711-随军随队配偶自谋职业一次性经济补助及未就业期间生活补助</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1120"/>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保障随队随军配偶合法权益，营造浓厚双拥氛围。</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2025年向9名随军随队军人配偶按未就业和自谋职业相关标准发放生活补助和一次性经济补助共计7.7万元。</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年通过“一卡通”平台一次性向9名随军随队军人配偶发放生活补助和一次性经济补助共计7.7万元。解决了驻攀部队随军随队军人配偶自谋职业或未就业期间生活困难问题，促进了军队稳定，充分发挥了驻攀部队干部在社会发展中的生力军作用，营造了浓厚的双拥氛围。</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7.70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7.70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7.70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7.70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发放人数</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人</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发放及时率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发放时间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双拥工作氛围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浓厚</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浓厚</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服务对象满意度指标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随队随军配偶满意率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成本指标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社会成本指标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发放金额</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8</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万元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7.7</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860"/>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我局严格按照政策标准，规范审核流程，顺利完成随军随队自谋职业一次性经济补助及未就业期间生活补助的发放工作。此次补助发放对象明确，资金拨付及时准确，切实解决了退役军人及其家属的实际困难，有效缓解了未就业期间的生活压力。通过政策落实，进一步增强了退役军人及其家属的获得感和幸福感，为社会和谐稳定作出了积极贡献。整体工作程序规范、公开透明，达到了预期目标，取得了良好的社会效益。</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项目负责人：杨蕾</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财务负责人：秦珊珊</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51040022T000000401003-攀枝花军分区聘用安保勤务人员相关经费</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根据攀枝花市委2019年4月23日议军会议精神及市委市政府有关领导批示要求，为切实解决攀枝花军分区因部队改革出现的安保勤务人员需要，由市退役军人局牵头负责落实有关工作，支持国防建设。</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2025年支付军分区聘用的35名安保人员薪酬及伙食补助179.58万元，预算执行率100%。</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2025年支付军分区聘用的35名安保人员薪酬及伙食补助179.58万元，有效解决军分区人员紧缺问题，全年无安全事故发生，有效维护了社会和谐稳定，军分区部队官兵满意度90%以上。</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180.00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179.58</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179.58</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180.00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179.58</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179.58</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勤务人员</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人</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安保人员</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人</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安保勤务工作完成率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军分区安全保障</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优</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优</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服务对象满意度指标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军分区满意率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成本指标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社会成本指标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安保勤务人员相关经费</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180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万元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179.58</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60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军分区聘用安保勤务人员的工作总体表现良好，达到了预期目标。安保人员在日常巡逻、门岗值守、应急处置等工作中认真负责，严格执行岗位职责，确保了军分区的安全秩序。通过定期培训和考核，安保人员的专业能力和应急反应能力得到了显著提升，能够有效应对各类突发事件，为军分区的后勤管理提供了有力保障。</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项目负责人：张正芝</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财务负责人：秦珊珊</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51040022T000000401005-双拥慰问经费</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根据《双拥模范城（县）创建命名管理办法》 、《全国双拥模范城（县）考评标准》相关要求，市委、市政府每年春节和“八一”建军节及常态化工作安排，开展对驻攀部队、攀枝花舰部队官兵和优抚对象代表走访慰问活动。</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2025年春节和“八一”建军节分别走访驻攀部队、攀枝花舰部队官兵和优抚对象代表。</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2025年对驻攀部队、攀枝花舰部队官兵和优抚对象代表开展走访慰问共支付37.03万元。资金支付范围、支付标准、支付进度、支付依据等合规合法、与预算相符，严格按照申报计划全额使用。</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40.00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37.03</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37.03</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40.00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37.03</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37.03</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慰问及时率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慰问部队及优抚对象次数</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次/年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慰问时间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双拥工作氛围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形成良好社会氛围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良好</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25</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服务对象满意度指标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部队官兵及优抚对象满意率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60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通过走访慰问驻地部队、退役军人及军属代表，送去了节日祝福和慰问物资，进一步增强了军民之间的鱼水情谊，充分体现了对部队官兵和退役军人的关心关爱。慰问活动不仅展现了政府部门的责任担当，也营造了全社会尊崇军人、关爱军属的良好氛围，为推动双拥工作再上新台阶发挥了积极作用。</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项目负责人：张正芝</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财务负责人：秦珊珊</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51040022T000000403180-参试退役人员体检经费</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对我市纳入定补的参试人员从2012年起每年定期进行一次免费常规身体体检。</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组织200余名参试人员在市中心医疗进行常规检查。</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2024年组织我市纳入定补的200余名“参试人员”在市中心医院进行体检，按不高于500元/ 人标准，支付体检经费10.04万元。</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10.04</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10.04</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10.04</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10.04</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体检人数</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0.024</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万人</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231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体检及时率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体检完成时间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2024</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2024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优抚对象医疗保障</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有效保障</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有效保障</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服务对象满意度指标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体检人员满意度</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85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60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体检工作组织有序，完成率高，覆盖了符合条件的退役军人，保障了他们的健康权益。通过体检，及时发现并干预健康问题，提升了退役军人的生活质量，社会效益显著。总体而言，项目实施效果良好，达到了预期目标。</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项目负责人：周小棚</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财务负责人：秦珊珊</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51040022T000006664928-向上争取资金工作经费</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加强与上级部门沟通协调，争取上级部门各类专项资金支持。</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加强与上级退役军人事务厅等有关部门日常衔接协调工作，抓好项目对接、资金对接、政策对接，积极向上争资金、争项目、争政策。</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2025年本系统争取到上级专项资金7900余万元，超额完成年初目标任务。支付专项经费2.11万元，预算执行率100%。</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2.11</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2.11</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2.11</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2.11</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向上争取资金</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7000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万元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7900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资金到位及时率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开展时间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保障工作正常开展</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有效保障</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有效保障</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服务对象满意度指标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服务对象满意度</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880"/>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通过深入研究政策、精准对接需求、加强与上级部门的沟通协调，成功争取到专项资金，为攀枝花退役军人事务领域重点项目和民生工程提供了有力保障。工作中，本系统各单位协同配合，形成了高效的工作机制，尤其是在项目包装、材料报送和汇报争取等方面，展现了较强的执行力和创新力。资金的到位有效缓解了地方财政压力，推动了基础设施建设、公共服务提升等关键领域的发展。</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项目负责人：谷大远</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财务负责人：秦珊珊</w:t>
            </w: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51040023T000008714370-信息系统维护费</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对部门“一体化信息平台”、“一卡通”平台运行维护、退役军人事务综合管理平台等系统运行维护。</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对部门“一体化信息平台”、“一卡通”平台运行维护、退役军人事务综合管理平台等系统运行维护。</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投入资金0.94万元，用于优化系统数据、更新系统等。系统运行稳定性显著提升，数据安全保障加强，为部门业务高效开展提供有力支持，经费使用合理，达成预期目标。</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1.30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0.94</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0.94</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1.30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0.94</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0.94</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信息系统平台</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个/套</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工作完成及时率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开展时间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经济效益指标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提高办事效率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有效提高</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有效提高</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服务对象满意度</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成本指标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经济成本指标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信息系统维护费</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1.3</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万元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0.94</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60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 xml:space="preserve"> 项目实施过程规范，经费使用合理高效。通过此次维护，系统运行稳定性显著提升，故障率大幅降低，数据安全性得到有力保障。项目有效支撑了部门业务的高效开展，提升了政务服务质量，达到了预期目标。</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项目负责人：谷大远</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财务负责人：秦珊珊</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51040023T000009729706-关工委工作经费</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引导青少年树立和中等社会主义核心价值观，扎实推进青少年思想道德建设，培养青少年成长成才，有效为青少年服务。</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 xml:space="preserve">按照市委、市政府要求和市关工委2025年年度工作计划做好关心下一代工作。   </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2025年度组织青少年开展各类亲子伴读和家风教育活动，支付资金0.22万元。</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0.22</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0.22</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color w:val="000000"/>
                <w:sz w:val="18"/>
                <w:szCs w:val="18"/>
                <w:u w:val="none"/>
              </w:rPr>
            </w:pPr>
            <w:r>
              <w:rPr>
                <w:rFonts w:ascii="黑体" w:eastAsia="黑体" w:cs="黑体"/>
                <w:i/>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0.22</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0.22</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开展青少年思想道德活动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次</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活动开展及时性</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开展时间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青少年思想道德素质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有效提高</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有效提高</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被关爱青少年满意度</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成本指标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社会成本指标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工作经费</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万元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0.22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60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通过开展对青少年教育关爱与帮扶活动，使其树立正确的人生观与价值观，增强对社会的认同感与归属感，接爱关爱、帮扶对象满意度90%以上。</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项目负责人：谷大远</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财务负责人：秦珊珊</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51040025T000013716616-武警攀枝花支队军史长廊改造项目</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军史长廊展示武警攀枝花支队的历史沿革、重要事件和英雄人物，是青年官兵汲取精神力量的源泉，也可帮助市民了解支队历史，进一步浓厚“军爱民 民拥军 军民鱼水一家亲”的双拥氛围。</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按计划完成武警攀枝花支队军史文化长廊改造</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2025年度支付14.01万元，完成武警攀枝花支队军史文化长廊改造项目。</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14.01</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14.01</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14.01</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14.01</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修改面积</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平方米</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100余平</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军史文化长廊建设标准</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按合同标准执行</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按合同标准执行</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军史文化长廊修建时间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天</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30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展示支队历史、英雄事迹，浓厚双拥氛围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有效发挥</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有效发挥</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武警攀枝花支队官兵满意度</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成本指标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经济成本指标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修建费用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118</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万元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14.01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60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改造提升军史文化长廊，是深化思想政治引领、传承红色血脉、凝聚强军力量的重要举措，对加强部队建设、弘扬优良传统、密切军民关系具有多重现实意义。</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项目负责人：阙川宁</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财务负责人：秦珊珊</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51040025T000013752413-市级挂职干部的补助经费</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攀枝花市军队离退休干部休养所</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及时足额发放补贴保障驻村队员权益</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项目执行进度100%，补助经费发放及时，项目计划按时完成，项目目标基本完成</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结合驻村工作实际要求测算申报经费预算，及时足额发放补助经费，保障驻村工作人员合法权益</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2.81</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2.81</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val="0"/>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2.81</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2.81</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驻村人数</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人数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40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40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发放准确率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可持续发展指标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持续推进乡村振兴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40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40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1040"/>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本项目立项合规、依据充分，绩效目标设定科学合理、贴合实际；项目资金申报、批复及使用规范，预算执行率100%，资金使用安全、高效，财务管理健全规范；项目组织架构完善、实施流程有序，管理到位、监管有力；项目各项绩效目标全部实现，任务完成质量高、时效强，成本控制良好，无违规记录；项目在社会效益、可持续效益等方面取得了显著成效，服务对象满意度达到100%，圆满完成了预算目标，切实发挥了补助经费对驻村工作人员的保障作用，推动了驻村帮扶工作有序开展，达到了项目实施的预期目的，符合相关政策要求。</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绩效目标细化程度有待提升：虽然项目设定了量化、细化的绩效目标，但部分效益类目标（如持续推进乡村振兴）的量化指标不够具体，难以更精准地衡量项目的长远效益，与绩效评价指标体系中“指标内涵明确、具体、可衡量”的要求存在细微差距。</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细化完善绩效目标：结合项目实施实际及长远效益，进一步细化绩效目标，尤其是效益类目标的量化指标，明确具体的衡量标准、计算方法，增强绩效目标的可操作性和可衡量性，确保绩效目标更贴合项目实施需求，更精准地反映项目实施成效，符合绩效评价指标体系相关要求，为后续绩效评价工作提供更清晰的依据。</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项目负责人：覃瀚</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财务负责人：拿而石留</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51040022T000000393326-过往部队接待及伙食补贴</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攀枝花市军供站</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为部队服务，为国防建设服务；保障成批过往部队、预备役人员和支前民兵民工，集结入伍的新兵、退役士兵等提供饮食饮水、亟需物资供应或代购、临时休整和住宿、协助医疗救护等服务保障。</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保质保量的完成了过往部队、入伍新兵等在运输途中的饮食饮水的供应保障。</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使用过往部队接待及伙食补贴项目经费支付：过往部队伙食补贴、接待期间水电费、劳务费、厨房易耗品、物业费等费用</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67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两个站点维修改造及接待部队产生的水电费用等保障日常任务正常开展费用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批</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color w:val="000000"/>
                <w:sz w:val="16"/>
                <w:szCs w:val="16"/>
                <w:u w:val="none"/>
              </w:rPr>
            </w:pPr>
            <w:r>
              <w:rPr>
                <w:rFonts w:ascii="微软雅黑" w:eastAsia="微软雅黑" w:cs="微软雅黑" w:hint="eastAsia"/>
                <w:i/>
                <w:color w:val="000000"/>
                <w:kern w:val="0"/>
                <w:sz w:val="16"/>
                <w:szCs w:val="16"/>
                <w:u w:val="none"/>
                <w:lang w:val="en-US" w:eastAsia="zh-CN"/>
              </w:rPr>
              <w:t>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接待过往部队聘请临时工人次</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人次</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color w:val="000000"/>
                <w:sz w:val="16"/>
                <w:szCs w:val="16"/>
                <w:u w:val="none"/>
              </w:rPr>
            </w:pPr>
            <w:r>
              <w:rPr>
                <w:rFonts w:ascii="微软雅黑" w:eastAsia="微软雅黑" w:cs="微软雅黑" w:hint="eastAsia"/>
                <w:i/>
                <w:color w:val="000000"/>
                <w:kern w:val="0"/>
                <w:sz w:val="16"/>
                <w:szCs w:val="16"/>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全年接待过往部队人次</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人次</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color w:val="000000"/>
                <w:sz w:val="16"/>
                <w:szCs w:val="16"/>
                <w:u w:val="none"/>
              </w:rPr>
            </w:pPr>
            <w:r>
              <w:rPr>
                <w:rFonts w:ascii="微软雅黑" w:eastAsia="微软雅黑" w:cs="微软雅黑" w:hint="eastAsia"/>
                <w:i/>
                <w:color w:val="000000"/>
                <w:kern w:val="0"/>
                <w:sz w:val="16"/>
                <w:szCs w:val="16"/>
                <w:u w:val="none"/>
                <w:lang w:val="en-US" w:eastAsia="zh-CN"/>
              </w:rPr>
              <w:t>1137</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15</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67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完成各种情况下的过往部队接待任务，实时保障过往部队的需求</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color w:val="000000"/>
                <w:sz w:val="16"/>
                <w:szCs w:val="16"/>
                <w:u w:val="none"/>
              </w:rPr>
            </w:pPr>
            <w:r>
              <w:rPr>
                <w:rFonts w:ascii="微软雅黑" w:eastAsia="微软雅黑" w:cs="微软雅黑" w:hint="eastAsia"/>
                <w:i/>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按时完成各种情况下的过往部队接待保障任务年份</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color w:val="000000"/>
                <w:sz w:val="16"/>
                <w:szCs w:val="16"/>
                <w:u w:val="none"/>
              </w:rPr>
            </w:pPr>
            <w:r>
              <w:rPr>
                <w:rFonts w:ascii="微软雅黑" w:eastAsia="微软雅黑" w:cs="微软雅黑" w:hint="eastAsia"/>
                <w:i/>
                <w:color w:val="000000"/>
                <w:kern w:val="0"/>
                <w:sz w:val="16"/>
                <w:szCs w:val="16"/>
                <w:u w:val="none"/>
                <w:lang w:val="en-US" w:eastAsia="zh-CN"/>
              </w:rPr>
              <w:t>2025</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保障成批过往的部队的接待任务，满足部队需求。</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良好</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良好</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服务对象满意度指标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过往部队满意度</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color w:val="000000"/>
                <w:sz w:val="16"/>
                <w:szCs w:val="16"/>
                <w:u w:val="none"/>
              </w:rPr>
            </w:pPr>
            <w:r>
              <w:rPr>
                <w:rFonts w:ascii="微软雅黑" w:eastAsia="微软雅黑" w:cs="微软雅黑" w:hint="eastAsia"/>
                <w:i/>
                <w:color w:val="000000"/>
                <w:kern w:val="0"/>
                <w:sz w:val="16"/>
                <w:szCs w:val="16"/>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成本指标</w:t>
            </w:r>
          </w:p>
        </w:tc>
        <w:tc>
          <w:tcPr>
            <w:tcW w:w="51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经济成本指标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支付军供站两个站点二个季度物业管理费</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56000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56000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支付两个站点保障过往部队产生水电费用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接待接待过往部队聘请临时工费用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军供保障演练费用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30000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两个站点维修改造保障设施设备等正常运转费用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采购厨房易耗品费用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14000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14000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全年接待过往部队伙食补贴费用</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60000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59960.36</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60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 xml:space="preserve">我站2025年该项目预算执行率100%，圆满完成了该项目指标任务，项目自评总分100分，合理使用该项目资金，保质保量的完成了过往部队、入伍新兵等在运输途中的饮食饮水的供应保障，受到部队官兵一致高度称赞，充分发挥了双拥窗口模范作用，加强了军民团结，推进了军民融合深度发展。 </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项目负责人：龚柄璋</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财务负责人：何成才</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r>
        <w:trPr>
          <w:trHeight w:val="90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hint="eastAsia"/>
                <w:b/>
                <w:i w:val="0"/>
                <w:color w:val="000000"/>
                <w:sz w:val="30"/>
                <w:szCs w:val="30"/>
                <w:u w:val="none"/>
              </w:rPr>
            </w:pPr>
            <w:r>
              <w:rPr>
                <w:rFonts w:ascii="黑体" w:eastAsia="黑体" w:cs="黑体" w:hint="eastAsia"/>
                <w:b/>
                <w:i w:val="0"/>
                <w:color w:val="000000"/>
                <w:kern w:val="0"/>
                <w:sz w:val="30"/>
                <w:szCs w:val="30"/>
                <w:u w:val="none"/>
                <w:lang w:val="en-US" w:eastAsia="zh-CN"/>
              </w:rPr>
              <w:t>部门预算项目支出绩效自评表（2025年度）</w:t>
            </w:r>
          </w:p>
        </w:tc>
      </w:tr>
      <w:tr>
        <w:trPr>
          <w:trHeight w:val="286"/>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项目名称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51040023T000009744562-退役士兵适应性培训</w:t>
            </w:r>
          </w:p>
        </w:tc>
      </w:tr>
      <w:tr>
        <w:trPr>
          <w:trHeight w:val="512"/>
        </w:trPr>
        <w:tc>
          <w:tcPr>
            <w:tcW w:w="95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主管部门</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攀枝花市退役军人事务局部门</w:t>
            </w:r>
          </w:p>
        </w:tc>
        <w:tc>
          <w:tcPr>
            <w:tcW w:w="52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实施单位 （盖章）</w:t>
            </w:r>
          </w:p>
        </w:tc>
        <w:tc>
          <w:tcPr>
            <w:tcW w:w="1369"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攀枝花市退役军人服务中心</w:t>
            </w:r>
          </w:p>
        </w:tc>
      </w:tr>
      <w:tr>
        <w:trPr>
          <w:trHeight w:val="286"/>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项目基本情况</w:t>
            </w: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1.项目年度目标完成情况</w:t>
            </w: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项目年度目标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年度目标完成情况</w:t>
            </w:r>
          </w:p>
        </w:tc>
      </w:tr>
      <w:tr>
        <w:trPr>
          <w:trHeight w:val="708"/>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155"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对自主就业退役士兵开展适应性培训，帮助退役军人尽快完成角色转换融入社会，促进退役军人就业创业率。</w:t>
            </w:r>
          </w:p>
        </w:tc>
        <w:tc>
          <w:tcPr>
            <w:tcW w:w="1894"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退役士兵适应性培训年度目标全面完成。参训率达100%，通过政策宣讲、心理调适及就业指导，帮助退役士兵顺利完成角色转换，增强了就业信心，满意度高。</w:t>
            </w:r>
          </w:p>
        </w:tc>
      </w:tr>
      <w:tr>
        <w:trPr>
          <w:trHeight w:val="693"/>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2.项目实施内容及过程概述</w:t>
            </w:r>
          </w:p>
        </w:tc>
        <w:tc>
          <w:tcPr>
            <w:tcW w:w="4049"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项目科学设置政策宣讲、心理调适及职业规划等课程。采取集中授课、实地参观等形式，严密组织培训实施。经考核，全员顺利结业，有效提升了退役士兵的社会适应能力。</w:t>
            </w:r>
          </w:p>
        </w:tc>
      </w:tr>
      <w:tr>
        <w:trPr>
          <w:trHeight w:val="361"/>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预算执行情况（10分）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年度预算数（万元）</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年初预算</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调整后预算数</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预算执行数</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预算执行率</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原因</w:t>
            </w:r>
          </w:p>
        </w:tc>
      </w:tr>
      <w:tr>
        <w:trPr>
          <w:trHeight w:val="346"/>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总额</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黑体" w:eastAsia="黑体" w:cs="黑体"/>
                <w:i/>
                <w:color w:val="000000"/>
                <w:sz w:val="18"/>
                <w:szCs w:val="18"/>
                <w:u w:val="none"/>
              </w:rPr>
            </w:pPr>
          </w:p>
        </w:tc>
      </w:tr>
      <w:tr>
        <w:trPr>
          <w:trHeight w:val="39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其中：财政资金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5.00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07"/>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财政专户管理资金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61"/>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单位资金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0.00%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其他资金</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947"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79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52"/>
        </w:trPr>
        <w:tc>
          <w:tcPr>
            <w:tcW w:w="338"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绩效指标（90分）</w:t>
            </w: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一级指标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二级指标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三级指标</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指标性质</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指标值</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度量单位</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完成值</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权重</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得分</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未完成原因分析</w:t>
            </w: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产出指标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数量指标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开展培训期数</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3</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期</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3期</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质量指标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培训效果</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高质量完成每期培训</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高质量完成每期培训</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时效指标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完成时间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2025</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年</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2025年</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效益指标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社会效益指标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促进退役军人融入社会</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不断促进退役军人融入社会</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不断促进退役军人融入社会</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452"/>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可持续影响指标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不断促进退役军人就业创业</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定性</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不断促进退役军人就业创业</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color w:val="000000"/>
                <w:sz w:val="18"/>
                <w:szCs w:val="18"/>
                <w:u w:val="none"/>
              </w:rPr>
            </w:pP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不断促进退役军人就业创业</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满意度指标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退役军人满意的</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90%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339"/>
        </w:trPr>
        <w:tc>
          <w:tcPr>
            <w:tcW w:w="338"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1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成本指标</w:t>
            </w:r>
          </w:p>
        </w:tc>
        <w:tc>
          <w:tcPr>
            <w:tcW w:w="51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经济成本指标</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控制在预算范围</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w:t>
            </w:r>
          </w:p>
        </w:tc>
        <w:tc>
          <w:tcPr>
            <w:tcW w:w="48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万元</w:t>
            </w:r>
          </w:p>
        </w:tc>
        <w:tc>
          <w:tcPr>
            <w:tcW w:w="5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20万元</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20</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微软雅黑" w:eastAsia="微软雅黑" w:cs="微软雅黑" w:hint="eastAsia"/>
                <w:i/>
                <w:color w:val="000000"/>
                <w:sz w:val="16"/>
                <w:szCs w:val="16"/>
                <w:u w:val="none"/>
              </w:rPr>
            </w:pPr>
          </w:p>
        </w:tc>
      </w:tr>
      <w:tr>
        <w:trPr>
          <w:trHeight w:val="286"/>
        </w:trPr>
        <w:tc>
          <w:tcPr>
            <w:tcW w:w="3630"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合计</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100</w:t>
            </w:r>
          </w:p>
        </w:tc>
        <w:tc>
          <w:tcPr>
            <w:tcW w:w="28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right"/>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99</w:t>
            </w:r>
          </w:p>
        </w:tc>
        <w:tc>
          <w:tcPr>
            <w:tcW w:w="7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color w:val="000000"/>
                <w:sz w:val="18"/>
                <w:szCs w:val="18"/>
                <w:u w:val="none"/>
              </w:rPr>
            </w:pPr>
          </w:p>
        </w:tc>
      </w:tr>
      <w:tr>
        <w:trPr>
          <w:trHeight w:val="820"/>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评价结论</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val="0"/>
                <w:color w:val="000000"/>
                <w:sz w:val="16"/>
                <w:szCs w:val="16"/>
                <w:u w:val="none"/>
              </w:rPr>
            </w:pPr>
            <w:r>
              <w:rPr>
                <w:rFonts w:ascii="微软雅黑" w:eastAsia="微软雅黑" w:cs="微软雅黑" w:hint="eastAsia"/>
                <w:i w:val="0"/>
                <w:color w:val="000000"/>
                <w:kern w:val="0"/>
                <w:sz w:val="16"/>
                <w:szCs w:val="16"/>
                <w:u w:val="none"/>
                <w:lang w:val="en-US" w:eastAsia="zh-CN"/>
              </w:rPr>
              <w:t>项目自评总分90分。退役士兵适应性培训项目实施精准、规范有序。一是课程设置科学，涵盖政策宣讲、心理调适及职业规划等内容，帮助退役士兵全面了解地方形势；二是教学形式丰富，采取集中授课与实地参观相结合，提升了学习实效性，全员顺利结业；三是转化效果显著，有效帮助退役士兵顺利完成角色转换，增强了就业创业信心，为下一步融入社会、实现高质量就业奠定了坚实基础。</w:t>
            </w:r>
          </w:p>
        </w:tc>
      </w:tr>
      <w:tr>
        <w:trPr>
          <w:trHeight w:val="572"/>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存在问题</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color w:val="000000"/>
                <w:sz w:val="16"/>
                <w:szCs w:val="16"/>
                <w:u w:val="none"/>
              </w:rPr>
            </w:pPr>
            <w:r>
              <w:rPr>
                <w:rFonts w:ascii="微软雅黑" w:eastAsia="微软雅黑" w:cs="微软雅黑" w:hint="eastAsia"/>
                <w:i/>
                <w:color w:val="000000"/>
                <w:kern w:val="0"/>
                <w:sz w:val="16"/>
                <w:szCs w:val="16"/>
                <w:u w:val="none"/>
                <w:lang w:val="en-US" w:eastAsia="zh-CN"/>
              </w:rPr>
              <w:t>无</w:t>
            </w:r>
          </w:p>
        </w:tc>
      </w:tr>
      <w:tr>
        <w:trPr>
          <w:trHeight w:val="633"/>
        </w:trPr>
        <w:tc>
          <w:tcPr>
            <w:tcW w:w="33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18"/>
                <w:szCs w:val="18"/>
                <w:u w:val="none"/>
              </w:rPr>
            </w:pPr>
            <w:r>
              <w:rPr>
                <w:rFonts w:ascii="宋体" w:eastAsia="宋体" w:cs="宋体"/>
                <w:i w:val="0"/>
                <w:color w:val="000000"/>
                <w:kern w:val="0"/>
                <w:sz w:val="18"/>
                <w:szCs w:val="18"/>
                <w:u w:val="none"/>
                <w:lang w:val="en-US" w:eastAsia="zh-CN"/>
              </w:rPr>
              <w:t>改进措施</w:t>
            </w:r>
          </w:p>
        </w:tc>
        <w:tc>
          <w:tcPr>
            <w:tcW w:w="4661"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微软雅黑" w:eastAsia="微软雅黑" w:cs="微软雅黑" w:hint="eastAsia"/>
                <w:i/>
                <w:color w:val="000000"/>
                <w:sz w:val="16"/>
                <w:szCs w:val="16"/>
                <w:u w:val="none"/>
              </w:rPr>
            </w:pPr>
            <w:r>
              <w:rPr>
                <w:rFonts w:ascii="微软雅黑" w:eastAsia="微软雅黑" w:cs="微软雅黑" w:hint="eastAsia"/>
                <w:i/>
                <w:color w:val="000000"/>
                <w:kern w:val="0"/>
                <w:sz w:val="16"/>
                <w:szCs w:val="16"/>
                <w:u w:val="none"/>
                <w:lang w:val="en-US" w:eastAsia="zh-CN"/>
              </w:rPr>
              <w:t>无</w:t>
            </w:r>
          </w:p>
        </w:tc>
      </w:tr>
      <w:tr>
        <w:trPr>
          <w:trHeight w:val="286"/>
        </w:trPr>
        <w:tc>
          <w:tcPr>
            <w:tcW w:w="2391"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项目负责人：文成山</w:t>
            </w:r>
          </w:p>
        </w:tc>
        <w:tc>
          <w:tcPr>
            <w:tcW w:w="2608"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黑体" w:eastAsia="黑体" w:cs="黑体"/>
                <w:i w:val="0"/>
                <w:color w:val="000000"/>
                <w:sz w:val="18"/>
                <w:szCs w:val="18"/>
                <w:u w:val="none"/>
              </w:rPr>
            </w:pPr>
            <w:r>
              <w:rPr>
                <w:rFonts w:ascii="黑体" w:eastAsia="黑体" w:cs="黑体"/>
                <w:i w:val="0"/>
                <w:color w:val="000000"/>
                <w:kern w:val="0"/>
                <w:sz w:val="18"/>
                <w:szCs w:val="18"/>
                <w:u w:val="none"/>
                <w:lang w:val="en-US" w:eastAsia="zh-CN"/>
              </w:rPr>
              <w:t>财务负责人：刘涛</w:t>
            </w:r>
          </w:p>
        </w:tc>
      </w:tr>
      <w:tr>
        <w:trPr>
          <w:trHeight w:val="286"/>
        </w:trPr>
        <w:tc>
          <w:tcPr>
            <w:tcW w:w="33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12"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1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69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481"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33"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524"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285"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c>
          <w:tcPr>
            <w:tcW w:w="798" w:type="pct"/>
            <w:tcBorders>
              <w:top w:val="nil"/>
              <w:left w:val="nil"/>
              <w:bottom w:val="nil"/>
              <w:right w:val="nil"/>
            </w:tcBorders>
            <w:shd w:val="clear" w:color="auto" w:fill="auto"/>
            <w:noWrap/>
            <w:vAlign w:val="center"/>
          </w:tcPr>
          <w:p>
            <w:pPr>
              <w:rPr>
                <w:rFonts w:ascii="宋体" w:eastAsia="宋体" w:cs="宋体" w:hint="eastAsia"/>
                <w:i w:val="0"/>
                <w:color w:val="000000"/>
                <w:sz w:val="18"/>
                <w:szCs w:val="18"/>
                <w:u w:val="none"/>
              </w:rPr>
            </w:pPr>
          </w:p>
        </w:tc>
      </w:tr>
    </w:tbl>
    <w:p>
      <w:pPr>
        <w:pStyle w:val="30"/>
        <w:rPr>
          <w:lang w:val="zh-CN"/>
        </w:rPr>
      </w:pPr>
    </w:p>
    <w:p>
      <w:pPr>
        <w:pStyle w:val="19"/>
        <w:spacing w:line="560" w:lineRule="exact"/>
        <w:ind w:leftChars="0" w:left="0" w:firstLineChars="0" w:firstLine="0"/>
        <w:rPr>
          <w:rFonts w:ascii="Times New Roman" w:hAnsi="Times New Roman"/>
          <w:sz w:val="32"/>
          <w:lang w:val="zh-CN"/>
          <w:highlight w:val="yellow"/>
        </w:rPr>
      </w:pPr>
    </w:p>
    <w:p>
      <w:pPr>
        <w:pStyle w:val="17"/>
        <w:spacing w:beforeLines="0" w:before="93"/>
        <w:rPr>
          <w:rFonts w:ascii="Times New Roman" w:cs="宋体" w:hAnsi="Times New Roman"/>
          <w:color w:val="FF0000"/>
          <w:sz w:val="32"/>
          <w:szCs w:val="32"/>
          <w:shd w:val="clear" w:color="auto" w:fill="FFFFFF"/>
          <w:lang w:val="zh-CN"/>
          <w:highlight w:val="yellow"/>
        </w:rPr>
      </w:pPr>
    </w:p>
    <w:p>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pPr>
        <w:pStyle w:val="17"/>
        <w:spacing w:beforeLines="0" w:before="93"/>
        <w:rPr>
          <w:rFonts w:ascii="Times New Roman" w:eastAsia="黑体" w:cs="黑体" w:hAnsi="Times New Roman"/>
          <w:sz w:val="32"/>
          <w:szCs w:val="32"/>
        </w:rPr>
      </w:pPr>
      <w:r>
        <w:rPr>
          <w:rFonts w:ascii="Times New Roman" w:eastAsia="黑体" w:cs="黑体" w:hAnsi="Times New Roman" w:hint="eastAsia"/>
          <w:sz w:val="32"/>
          <w:szCs w:val="32"/>
          <w:shd w:val="clear" w:color="auto" w:fill="FFFFFF"/>
          <w:lang w:val="zh-CN"/>
        </w:rPr>
        <w:t>附件</w:t>
      </w:r>
      <w:r>
        <w:rPr>
          <w:rFonts w:ascii="Times New Roman" w:eastAsia="黑体" w:cs="黑体" w:hAnsi="Times New Roman" w:hint="eastAsia"/>
          <w:sz w:val="32"/>
          <w:szCs w:val="32"/>
          <w:shd w:val="clear" w:color="auto" w:fill="FFFFFF"/>
        </w:rPr>
        <w:t>2</w:t>
      </w:r>
    </w:p>
    <w:p>
      <w:pPr>
        <w:pStyle w:val="38"/>
        <w:spacing w:line="578" w:lineRule="exact"/>
        <w:jc w:val="center"/>
        <w:rPr>
          <w:rFonts w:ascii="Times New Roman" w:eastAsia="方正小标宋简体" w:cs="方正小标宋简体" w:hAnsi="Times New Roman"/>
          <w:color w:val="auto"/>
          <w:kern w:val="2"/>
          <w:sz w:val="44"/>
          <w:szCs w:val="44"/>
          <w:lang w:val="en-US"/>
        </w:rPr>
      </w:pPr>
    </w:p>
    <w:p>
      <w:pPr>
        <w:pStyle w:val="38"/>
        <w:spacing w:line="600" w:lineRule="exact"/>
        <w:jc w:val="center"/>
        <w:rPr>
          <w:rFonts w:ascii="Times New Roman" w:eastAsia="方正小标宋简体" w:hAnsi="Times New Roman"/>
          <w:color w:val="auto"/>
          <w:kern w:val="2"/>
          <w:sz w:val="44"/>
          <w:szCs w:val="44"/>
        </w:rPr>
      </w:pPr>
      <w:bookmarkStart w:id="129" w:name="_Toc1822467879_WPSOffice_Level2"/>
      <w:bookmarkStart w:id="130" w:name="_Toc695522563_WPSOffice_Level2"/>
      <w:bookmarkStart w:id="131" w:name="_Toc697646197_WPSOffice_Level2"/>
      <w:bookmarkStart w:id="132" w:name="_Toc27719149_WPSOffice_Level2"/>
      <w:r>
        <w:rPr>
          <w:rFonts w:ascii="Times New Roman" w:eastAsia="方正小标宋简体" w:hAnsi="Times New Roman"/>
          <w:color w:val="auto"/>
          <w:kern w:val="2"/>
          <w:sz w:val="44"/>
          <w:szCs w:val="44"/>
        </w:rPr>
        <w:t>专项预算项目支出绩效自评报告</w:t>
      </w:r>
      <w:bookmarkEnd w:id="129"/>
      <w:bookmarkEnd w:id="130"/>
      <w:bookmarkEnd w:id="131"/>
      <w:bookmarkEnd w:id="132"/>
    </w:p>
    <w:p>
      <w:pPr>
        <w:autoSpaceDE w:val="0"/>
        <w:autoSpaceDN w:val="0"/>
        <w:adjustRightInd w:val="0"/>
        <w:spacing w:line="600" w:lineRule="exact"/>
        <w:ind w:firstLineChars="150" w:firstLine="432"/>
        <w:jc w:val="left"/>
        <w:rPr>
          <w:rFonts w:ascii="Times New Roman" w:eastAsia="仿宋_GB2312" w:hAnsi="Times New Roman" w:hint="eastAsia"/>
          <w:w w:val="90"/>
          <w:kern w:val="0"/>
          <w:sz w:val="32"/>
          <w:szCs w:val="32"/>
          <w:lang w:val="en-US" w:eastAsia="zh-CN"/>
        </w:rPr>
      </w:pPr>
      <w:r>
        <w:rPr>
          <w:rFonts w:hint="eastAsia"/>
          <w:w w:val="90"/>
          <w:kern w:val="0"/>
          <w:sz w:val="32"/>
          <w:szCs w:val="32"/>
          <w:lang w:val="en-US" w:eastAsia="zh-CN"/>
        </w:rPr>
        <w:t>（</w:t>
      </w:r>
      <w:r>
        <w:rPr>
          <w:rFonts w:ascii="Times New Roman" w:eastAsia="仿宋_GB2312" w:hAnsi="Times New Roman" w:hint="eastAsia"/>
          <w:w w:val="90"/>
          <w:kern w:val="0"/>
          <w:sz w:val="24"/>
          <w:szCs w:val="24"/>
          <w:lang w:val="en-US" w:eastAsia="zh-CN"/>
        </w:rPr>
        <w:t>驻攀部队</w:t>
      </w:r>
      <w:r>
        <w:rPr>
          <w:rFonts w:hint="eastAsia"/>
          <w:w w:val="90"/>
          <w:kern w:val="0"/>
          <w:sz w:val="24"/>
          <w:szCs w:val="24"/>
          <w:lang w:val="en-US" w:eastAsia="zh-CN"/>
        </w:rPr>
        <w:t>军人</w:t>
      </w:r>
      <w:r>
        <w:rPr>
          <w:rFonts w:ascii="Times New Roman" w:eastAsia="仿宋_GB2312" w:hAnsi="Times New Roman" w:hint="eastAsia"/>
          <w:w w:val="90"/>
          <w:kern w:val="0"/>
          <w:sz w:val="24"/>
          <w:szCs w:val="24"/>
          <w:lang w:val="en-US" w:eastAsia="zh-CN"/>
        </w:rPr>
        <w:t>随军随队配偶自谋职业一次性经济补助及未就业期间生活补助</w:t>
      </w:r>
      <w:r>
        <w:rPr>
          <w:rFonts w:hint="eastAsia"/>
          <w:w w:val="90"/>
          <w:kern w:val="0"/>
          <w:sz w:val="32"/>
          <w:szCs w:val="32"/>
          <w:lang w:val="en-US" w:eastAsia="zh-CN"/>
        </w:rPr>
        <w:t>）</w:t>
      </w:r>
    </w:p>
    <w:p>
      <w:pPr>
        <w:pStyle w:val="38"/>
        <w:spacing w:line="600" w:lineRule="exact"/>
        <w:ind w:firstLine="640"/>
        <w:jc w:val="center"/>
        <w:rPr>
          <w:rFonts w:ascii="Times New Roman" w:hAnsi="Times New Roman"/>
          <w:color w:val="auto"/>
          <w:kern w:val="2"/>
          <w:sz w:val="32"/>
          <w:szCs w:val="32"/>
        </w:rPr>
      </w:pP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133" w:name="_Toc1412117327_WPSOffice_Level2"/>
      <w:bookmarkStart w:id="134" w:name="_Toc847231098_WPSOffice_Level2"/>
      <w:bookmarkStart w:id="135" w:name="_Toc950269815_WPSOffice_Level2"/>
      <w:bookmarkStart w:id="136" w:name="_Toc590254781_WPSOffice_Level2"/>
      <w:r>
        <w:rPr>
          <w:rFonts w:ascii="Times New Roman" w:eastAsia="黑体" w:cs="Times New Roman" w:hAnsi="Times New Roman" w:hint="eastAsia"/>
          <w:bCs w:val="0"/>
          <w:sz w:val="32"/>
          <w:szCs w:val="32"/>
          <w:lang w:val="en-US" w:eastAsia="zh-CN"/>
        </w:rPr>
        <w:t>一、</w:t>
      </w:r>
      <w:r>
        <w:rPr>
          <w:rFonts w:ascii="Times New Roman" w:eastAsia="黑体" w:cs="Times New Roman" w:hAnsi="Times New Roman" w:hint="eastAsia"/>
          <w:bCs w:val="0"/>
          <w:sz w:val="32"/>
          <w:szCs w:val="32"/>
          <w:lang w:val="zh-CN" w:eastAsia="zh-CN"/>
        </w:rPr>
        <w:t>项目概况</w:t>
      </w:r>
      <w:bookmarkEnd w:id="133"/>
      <w:bookmarkEnd w:id="134"/>
      <w:bookmarkEnd w:id="135"/>
      <w:bookmarkEnd w:id="136"/>
    </w:p>
    <w:p>
      <w:pPr>
        <w:adjustRightInd w:val="0"/>
        <w:snapToGrid w:val="0"/>
        <w:spacing w:line="600" w:lineRule="exact"/>
        <w:ind w:firstLine="720"/>
        <w:jc w:val="both"/>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仿宋_GB2312" w:hint="eastAsia"/>
          <w:kern w:val="0"/>
          <w:sz w:val="32"/>
          <w:szCs w:val="32"/>
          <w:lang w:val="en-US" w:eastAsia="zh-CN" w:bidi="ar-SA"/>
        </w:rPr>
        <w:t>依据攀枝花市人民政府办公室转发《市民政局、市财政局关于调整城镇退役士兵自谋职业一次性经济补助金标准和发放驻攀部队干部随军随队配偶自谋职业一次性经济补助及随军随队军人配偶生活补助的意见》的通知(攀办发〔2004〕65号)、《攀枝花市人民政府 攀枝花军分区关于调整义务兵家庭优待金和驻攀部队随军随队军人配偶生活补助标准的通知》(攀府函〔2013〕44号)文件精神，发放驻攀部队干部随军随队配偶自谋职业一次性经济补助及随军随队军人配偶生活补助。</w:t>
      </w:r>
    </w:p>
    <w:p>
      <w:pPr>
        <w:adjustRightInd w:val="0"/>
        <w:snapToGrid w:val="0"/>
        <w:spacing w:line="600" w:lineRule="exact"/>
        <w:ind w:firstLine="720"/>
        <w:jc w:val="both"/>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（二）项目绩效目标。</w:t>
      </w:r>
      <w:r>
        <w:rPr>
          <w:rFonts w:ascii="仿宋_GB2312" w:eastAsia="仿宋_GB2312" w:cs="仿宋_GB2312" w:hint="eastAsia"/>
          <w:kern w:val="0"/>
          <w:sz w:val="32"/>
          <w:szCs w:val="32"/>
          <w:lang w:val="en-US" w:eastAsia="zh-CN" w:bidi="ar-SA"/>
        </w:rPr>
        <w:t>通过发放驻攀部队军人随军随队配偶自谋职业一次性经济补助及未就业期间生活补助经费，改善随军随队军人配偶生活质量，更好地支持部队建设，促进双拥工作开展。</w:t>
      </w:r>
    </w:p>
    <w:p>
      <w:pPr>
        <w:adjustRightInd w:val="0"/>
        <w:snapToGrid w:val="0"/>
        <w:spacing w:line="600" w:lineRule="exact"/>
        <w:ind w:firstLine="720"/>
        <w:jc w:val="both"/>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（三）项目自评步骤及方法。</w:t>
      </w:r>
      <w:r>
        <w:rPr>
          <w:rFonts w:ascii="仿宋_GB2312" w:eastAsia="仿宋_GB2312" w:cs="仿宋_GB2312" w:hint="eastAsia"/>
          <w:kern w:val="0"/>
          <w:sz w:val="32"/>
          <w:szCs w:val="32"/>
          <w:lang w:val="zh-CN" w:eastAsia="zh-CN" w:bidi="ar-SA"/>
        </w:rPr>
        <w:t>本次项目自评严格按照政策要求，坚持客观公正、实事求是原则。以项目实施方案、绩效目标、资金管理办法为依据，全面梳理预算文件、台账资料、财务凭证等基础材料，对照绩效指标逐项核验完成情况，坚持定量与定性相结合的评估方法，客观评估项目产出、效益及目标实现度。通过全面总结成效，深查细摆问题，剖析深层原因，提出切实可行的整改措施，整个过程公开透明、客观公正，严格遵守财政资金管理规定，绩效评价结果真实准确。</w:t>
      </w:r>
    </w:p>
    <w:p>
      <w:pPr>
        <w:adjustRightInd w:val="0"/>
        <w:snapToGrid w:val="0"/>
        <w:spacing w:line="600" w:lineRule="exact"/>
        <w:ind w:firstLine="720"/>
        <w:jc w:val="both"/>
        <w:rPr>
          <w:rFonts w:ascii="Times New Roman" w:eastAsia="黑体" w:cs="Times New Roman" w:hAnsi="Times New Roman" w:hint="eastAsia"/>
          <w:bCs w:val="0"/>
          <w:sz w:val="32"/>
          <w:szCs w:val="32"/>
          <w:lang w:val="en-US" w:eastAsia="zh-CN"/>
        </w:rPr>
      </w:pPr>
      <w:bookmarkStart w:id="137" w:name="_Toc979039909_WPSOffice_Level2"/>
      <w:bookmarkStart w:id="138" w:name="_Toc1559785323_WPSOffice_Level2"/>
      <w:bookmarkStart w:id="139" w:name="_Toc1486742460_WPSOffice_Level2"/>
      <w:bookmarkStart w:id="140" w:name="_Toc1810141519_WPSOffice_Level2"/>
      <w:r>
        <w:rPr>
          <w:rFonts w:ascii="Times New Roman" w:eastAsia="黑体" w:cs="Times New Roman" w:hAnsi="Times New Roman" w:hint="eastAsia"/>
          <w:bCs w:val="0"/>
          <w:sz w:val="32"/>
          <w:szCs w:val="32"/>
          <w:lang w:val="en-US" w:eastAsia="zh-CN"/>
        </w:rPr>
        <w:t>二、项目资金申报及使用情况</w:t>
      </w:r>
      <w:bookmarkEnd w:id="137"/>
      <w:bookmarkEnd w:id="138"/>
      <w:bookmarkEnd w:id="139"/>
      <w:bookmarkEnd w:id="140"/>
    </w:p>
    <w:p>
      <w:pPr>
        <w:adjustRightInd w:val="0"/>
        <w:snapToGrid w:val="0"/>
        <w:spacing w:line="600" w:lineRule="exact"/>
        <w:ind w:firstLine="720"/>
        <w:jc w:val="both"/>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（一）项目资金申报及批复情况。</w:t>
      </w:r>
      <w:r>
        <w:rPr>
          <w:rFonts w:ascii="仿宋_GB2312" w:eastAsia="仿宋_GB2312" w:cs="仿宋_GB2312" w:hint="eastAsia"/>
          <w:kern w:val="0"/>
          <w:sz w:val="32"/>
          <w:szCs w:val="32"/>
          <w:lang w:val="en-US" w:eastAsia="zh-CN" w:bidi="ar-SA"/>
        </w:rPr>
        <w:t>2025年度财政部门下达攀财资社〔2025〕97号文件，追加驻攀部队军人随军随队配偶自谋职业一次性经济补助及未就业期间生活补助计划资金7.7万元。</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w:t>
      </w:r>
    </w:p>
    <w:p>
      <w:pPr>
        <w:adjustRightInd w:val="0"/>
        <w:snapToGrid w:val="0"/>
        <w:spacing w:line="600" w:lineRule="exact"/>
        <w:ind w:firstLine="720"/>
        <w:jc w:val="both"/>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1</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资金计划。</w:t>
      </w:r>
      <w:r>
        <w:rPr>
          <w:rFonts w:ascii="仿宋_GB2312" w:eastAsia="仿宋_GB2312" w:cs="仿宋_GB2312" w:hint="eastAsia"/>
          <w:kern w:val="0"/>
          <w:sz w:val="32"/>
          <w:szCs w:val="32"/>
          <w:lang w:val="en-US" w:eastAsia="zh-CN" w:bidi="ar-SA"/>
        </w:rPr>
        <w:t>驻攀部队军人随军随队配偶自谋职业一次性经济补助及未就业期间生活补助预算资金7.7万元</w:t>
      </w:r>
      <w:r>
        <w:rPr>
          <w:rFonts w:ascii="仿宋_GB2312" w:eastAsia="仿宋_GB2312" w:cs="仿宋_GB2312" w:hint="eastAsia"/>
          <w:kern w:val="0"/>
          <w:sz w:val="32"/>
          <w:szCs w:val="32"/>
          <w:lang w:val="zh-CN" w:eastAsia="zh-CN" w:bidi="ar-SA"/>
        </w:rPr>
        <w:t>。</w:t>
      </w:r>
    </w:p>
    <w:p>
      <w:pPr>
        <w:adjustRightInd w:val="0"/>
        <w:snapToGrid w:val="0"/>
        <w:spacing w:line="600" w:lineRule="exact"/>
        <w:ind w:firstLine="720"/>
        <w:jc w:val="both"/>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资金到位。市级安排资金</w:t>
      </w:r>
      <w:r>
        <w:rPr>
          <w:rFonts w:ascii="仿宋_GB2312" w:eastAsia="仿宋_GB2312" w:cs="仿宋_GB2312" w:hint="eastAsia"/>
          <w:kern w:val="0"/>
          <w:sz w:val="32"/>
          <w:szCs w:val="32"/>
          <w:lang w:val="en-US" w:eastAsia="zh-CN" w:bidi="ar-SA"/>
        </w:rPr>
        <w:t>7.7万元，到位率100%。</w:t>
      </w:r>
    </w:p>
    <w:p>
      <w:pPr>
        <w:adjustRightInd w:val="0"/>
        <w:snapToGrid w:val="0"/>
        <w:spacing w:line="600" w:lineRule="exact"/>
        <w:ind w:firstLine="720"/>
        <w:jc w:val="both"/>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zh-CN" w:eastAsia="zh-CN" w:bidi="ar-SA"/>
        </w:rPr>
        <w:t>3</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资金使用。</w:t>
      </w:r>
      <w:r>
        <w:rPr>
          <w:rFonts w:ascii="仿宋_GB2312" w:eastAsia="仿宋_GB2312" w:cs="仿宋_GB2312" w:hint="eastAsia"/>
          <w:kern w:val="0"/>
          <w:sz w:val="32"/>
          <w:szCs w:val="32"/>
          <w:lang w:val="en-US" w:eastAsia="zh-CN" w:bidi="ar-SA"/>
        </w:rPr>
        <w:t>向符合条件的9名随军随队军人配偶发放相关补助共7.7万元，使用率100%。</w:t>
      </w:r>
    </w:p>
    <w:p>
      <w:pPr>
        <w:adjustRightInd w:val="0"/>
        <w:snapToGrid w:val="0"/>
        <w:spacing w:line="600" w:lineRule="exact"/>
        <w:ind w:firstLine="720"/>
        <w:jc w:val="both"/>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（三）项目财务管理情况。</w:t>
      </w:r>
      <w:r>
        <w:rPr>
          <w:rFonts w:ascii="仿宋_GB2312" w:eastAsia="仿宋_GB2312" w:cs="仿宋_GB2312" w:hint="eastAsia"/>
          <w:kern w:val="0"/>
          <w:sz w:val="32"/>
          <w:szCs w:val="32"/>
          <w:lang w:val="en-US" w:eastAsia="zh-CN" w:bidi="ar-SA"/>
        </w:rPr>
        <w:t>项目资金严格按照项目支出范围、用途控制，坚持专款专用，不存在挤占挪用现象，资金支出合法、合理，会计核算符合相关规定。</w:t>
      </w:r>
    </w:p>
    <w:p>
      <w:pPr>
        <w:adjustRightInd w:val="0"/>
        <w:snapToGrid w:val="0"/>
        <w:spacing w:line="600" w:lineRule="exact"/>
        <w:ind w:firstLine="720"/>
        <w:jc w:val="both"/>
        <w:rPr>
          <w:rFonts w:ascii="Times New Roman" w:eastAsia="黑体" w:cs="Times New Roman" w:hAnsi="Times New Roman" w:hint="eastAsia"/>
          <w:bCs w:val="0"/>
          <w:sz w:val="32"/>
          <w:szCs w:val="32"/>
          <w:lang w:val="en-US" w:eastAsia="zh-CN"/>
        </w:rPr>
      </w:pPr>
      <w:bookmarkStart w:id="141" w:name="_Toc654351140_WPSOffice_Level2"/>
      <w:bookmarkStart w:id="142" w:name="_Toc587722901_WPSOffice_Level2"/>
      <w:bookmarkStart w:id="143" w:name="_Toc1262493390_WPSOffice_Level2"/>
      <w:bookmarkStart w:id="144" w:name="_Toc1188533267_WPSOffice_Level2"/>
      <w:r>
        <w:rPr>
          <w:rFonts w:ascii="Times New Roman" w:eastAsia="黑体" w:cs="Times New Roman" w:hAnsi="Times New Roman" w:hint="eastAsia"/>
          <w:bCs w:val="0"/>
          <w:sz w:val="32"/>
          <w:szCs w:val="32"/>
          <w:lang w:val="en-US" w:eastAsia="zh-CN"/>
        </w:rPr>
        <w:t>三、项目实施及管理情况</w:t>
      </w:r>
      <w:bookmarkEnd w:id="141"/>
      <w:bookmarkEnd w:id="142"/>
      <w:bookmarkEnd w:id="143"/>
      <w:bookmarkEnd w:id="144"/>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（一）项目组织架构及实施流程。</w:t>
      </w:r>
    </w:p>
    <w:p>
      <w:pPr>
        <w:adjustRightInd w:val="0"/>
        <w:snapToGrid w:val="0"/>
        <w:spacing w:line="600" w:lineRule="exact"/>
        <w:ind w:firstLine="720"/>
        <w:jc w:val="both"/>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驻攀部队军人随军随队配偶自谋职业一次性经济补助及未就业期间生活补助实行</w:t>
      </w:r>
      <w:r>
        <w:rPr>
          <w:rFonts w:ascii="仿宋_GB2312" w:eastAsia="仿宋_GB2312" w:cs="仿宋_GB2312" w:hint="eastAsia"/>
          <w:kern w:val="0"/>
          <w:sz w:val="32"/>
          <w:szCs w:val="32"/>
          <w:lang w:val="zh-CN" w:eastAsia="zh-CN" w:bidi="ar-SA"/>
        </w:rPr>
        <w:t>“分管领导负责、业务科室推进、财务全程监督”的运行机制。分管领导负责统筹方向，协调解决实施过程中的重大事项；</w:t>
      </w:r>
      <w:r>
        <w:rPr>
          <w:rFonts w:ascii="仿宋_GB2312" w:eastAsia="仿宋_GB2312" w:cs="仿宋_GB2312" w:hint="eastAsia"/>
          <w:kern w:val="0"/>
          <w:sz w:val="32"/>
          <w:szCs w:val="32"/>
          <w:lang w:val="en-US" w:eastAsia="zh-CN" w:bidi="ar-SA"/>
        </w:rPr>
        <w:t>安置与就业创业科</w:t>
      </w:r>
      <w:r>
        <w:rPr>
          <w:rFonts w:ascii="仿宋_GB2312" w:eastAsia="仿宋_GB2312" w:cs="仿宋_GB2312" w:hint="eastAsia"/>
          <w:kern w:val="0"/>
          <w:sz w:val="32"/>
          <w:szCs w:val="32"/>
          <w:lang w:val="zh-CN" w:eastAsia="zh-CN" w:bidi="ar-SA"/>
        </w:rPr>
        <w:t>严格按照计划细化分工，压实工作责任，保障项目按节点有序推进；财务人员全流程参与，严格履行预算编制与资金拨付审批职责，加强资金流向全周期监管。整个流程权责清晰、运转顺畅，各环节密切配合，有力保障了项目平稳落地。</w:t>
      </w:r>
    </w:p>
    <w:p>
      <w:pPr>
        <w:adjustRightInd w:val="0"/>
        <w:snapToGrid w:val="0"/>
        <w:spacing w:line="600" w:lineRule="exact"/>
        <w:ind w:firstLine="720"/>
        <w:jc w:val="both"/>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（二）项目管理情况。</w:t>
      </w:r>
      <w:r>
        <w:rPr>
          <w:rFonts w:ascii="仿宋_GB2312" w:eastAsia="仿宋_GB2312" w:cs="仿宋_GB2312" w:hint="eastAsia"/>
          <w:kern w:val="0"/>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adjustRightInd w:val="0"/>
        <w:snapToGrid w:val="0"/>
        <w:spacing w:line="600" w:lineRule="exact"/>
        <w:ind w:firstLine="720"/>
        <w:jc w:val="both"/>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（三）项目监管情况。</w:t>
      </w:r>
      <w:r>
        <w:rPr>
          <w:rFonts w:ascii="仿宋_GB2312" w:eastAsia="仿宋_GB2312" w:cs="仿宋_GB2312" w:hint="eastAsia"/>
          <w:kern w:val="0"/>
          <w:sz w:val="32"/>
          <w:szCs w:val="32"/>
          <w:lang w:val="zh-CN" w:eastAsia="zh-CN" w:bidi="ar-SA"/>
        </w:rPr>
        <w:t>严格按照政策规定和资金管理要求实施全过程监管，建立健全审核、复核、监督机制。在对象认定、资金核算、发放流程等关键环节层层把关、从严审核，确保发放对象精准、补助标准执行到位、办理程序合法合规。资金使用过程中，坚持每月开展绩效监控，强化动态跟踪与风险防控，确保资金专款专用、安全规范。同时，加强信息公开，定期公示项目进展和资金使用情况，接受社会监督。</w:t>
      </w: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145" w:name="_Toc1126138917_WPSOffice_Level2"/>
      <w:bookmarkStart w:id="146" w:name="_Toc629882940_WPSOffice_Level2"/>
      <w:bookmarkStart w:id="147" w:name="_Toc463204335_WPSOffice_Level2"/>
      <w:bookmarkStart w:id="148" w:name="_Toc357337115_WPSOffice_Level2"/>
      <w:r>
        <w:rPr>
          <w:rFonts w:ascii="Times New Roman" w:eastAsia="黑体" w:cs="Times New Roman" w:hAnsi="Times New Roman" w:hint="eastAsia"/>
          <w:bCs w:val="0"/>
          <w:sz w:val="32"/>
          <w:szCs w:val="32"/>
          <w:lang w:val="en-US" w:eastAsia="zh-CN"/>
        </w:rPr>
        <w:t>四、项目绩效情况</w:t>
      </w:r>
      <w:bookmarkEnd w:id="145"/>
      <w:bookmarkEnd w:id="146"/>
      <w:bookmarkEnd w:id="147"/>
      <w:bookmarkEnd w:id="148"/>
      <w:r>
        <w:rPr>
          <w:rFonts w:ascii="Times New Roman" w:eastAsia="黑体" w:cs="Times New Roman" w:hAnsi="Times New Roman" w:hint="eastAsia"/>
          <w:bCs w:val="0"/>
          <w:sz w:val="32"/>
          <w:szCs w:val="32"/>
          <w:lang w:val="zh-CN" w:eastAsia="zh-CN"/>
        </w:rPr>
        <w:tab/>
      </w:r>
    </w:p>
    <w:p>
      <w:pPr>
        <w:keepNext w:val="0"/>
        <w:keepLines w:val="0"/>
        <w:widowControl/>
        <w:suppressLineNumbers w:val="0"/>
        <w:ind w:firstLineChars="200" w:firstLine="640"/>
        <w:jc w:val="left"/>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（一）项目完成情况。</w:t>
      </w:r>
      <w:r>
        <w:rPr>
          <w:rFonts w:ascii="仿宋_GB2312" w:eastAsia="仿宋_GB2312" w:cs="仿宋_GB2312" w:hint="eastAsia"/>
          <w:kern w:val="0"/>
          <w:sz w:val="32"/>
          <w:szCs w:val="32"/>
          <w:lang w:val="en-US" w:eastAsia="zh-CN" w:bidi="ar-SA"/>
        </w:rPr>
        <w:t>2025年为9名驻攀部队随军随队军人配偶发放2024年度自谋职业一次性经济补助或未就业期间生活补助。发放标准为自谋职业1万元/人，未就业期间生活补助1—6月790元/人·月，7—12月840元/人·月。</w:t>
      </w:r>
    </w:p>
    <w:p>
      <w:pPr>
        <w:adjustRightInd w:val="0"/>
        <w:snapToGrid w:val="0"/>
        <w:spacing w:line="600" w:lineRule="exact"/>
        <w:ind w:firstLineChars="200" w:firstLine="640"/>
        <w:jc w:val="both"/>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（二）项目效益情况。</w:t>
      </w:r>
      <w:r>
        <w:rPr>
          <w:rFonts w:ascii="仿宋_GB2312" w:eastAsia="仿宋_GB2312" w:cs="仿宋_GB2312" w:hint="eastAsia"/>
          <w:kern w:val="0"/>
          <w:sz w:val="32"/>
          <w:szCs w:val="32"/>
          <w:lang w:val="en-US" w:eastAsia="zh-CN" w:bidi="ar-SA"/>
        </w:rPr>
        <w:t>通过发放随军随队军人配偶自谋职业一次性经济补助及未就业期间生活补助，解决驻攀部队随军随队军人配偶自谋职业或未就业期间生活困难问题，促进了军队稳定，营造了浓厚的双拥氛围，随军随队配偶满意率为95%以上。</w:t>
      </w:r>
    </w:p>
    <w:p>
      <w:pPr>
        <w:adjustRightInd w:val="0"/>
        <w:snapToGrid w:val="0"/>
        <w:spacing w:line="600" w:lineRule="exact"/>
        <w:ind w:firstLine="720"/>
        <w:jc w:val="both"/>
        <w:rPr>
          <w:rFonts w:ascii="Times New Roman" w:eastAsia="黑体" w:cs="Times New Roman" w:hAnsi="Times New Roman" w:hint="eastAsia"/>
          <w:bCs w:val="0"/>
          <w:sz w:val="32"/>
          <w:szCs w:val="32"/>
          <w:lang w:val="en-US" w:eastAsia="zh-CN"/>
        </w:rPr>
      </w:pPr>
      <w:bookmarkStart w:id="149" w:name="_Toc2008830931_WPSOffice_Level2"/>
      <w:bookmarkStart w:id="150" w:name="_Toc1532100745_WPSOffice_Level2"/>
      <w:bookmarkStart w:id="151" w:name="_Toc102445515_WPSOffice_Level2"/>
      <w:bookmarkStart w:id="152" w:name="_Toc848123983_WPSOffice_Level2"/>
      <w:r>
        <w:rPr>
          <w:rFonts w:ascii="Times New Roman" w:eastAsia="黑体" w:cs="Times New Roman" w:hAnsi="Times New Roman" w:hint="eastAsia"/>
          <w:bCs w:val="0"/>
          <w:sz w:val="32"/>
          <w:szCs w:val="32"/>
          <w:lang w:val="en-US" w:eastAsia="zh-CN"/>
        </w:rPr>
        <w:t>五、评价结论及建议</w:t>
      </w:r>
      <w:bookmarkEnd w:id="149"/>
      <w:bookmarkEnd w:id="150"/>
      <w:bookmarkEnd w:id="151"/>
      <w:bookmarkEnd w:id="152"/>
    </w:p>
    <w:p>
      <w:pPr>
        <w:adjustRightInd w:val="0"/>
        <w:snapToGrid w:val="0"/>
        <w:spacing w:line="600" w:lineRule="exact"/>
        <w:ind w:firstLine="720"/>
        <w:jc w:val="both"/>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严格按照政策标准，规范审核流程，完成随军随队军人配偶自谋职业一次性经济补助及未就业期间生活补助的发放工作。此次补助发放对象明确，资金拨付及时准确，切实解决了退役军人及其家属的实际困难，有效缓解了未就业期间生活压力。通过政策落实，进一步增强了驻攀部队军人及其家属获得感和幸福感，为社会和谐稳定作出了积极贡献。整体工作程序规范、公开透明，达到了预期目标，取得了良好社会效益。</w:t>
      </w:r>
    </w:p>
    <w:p>
      <w:pPr>
        <w:spacing w:line="578" w:lineRule="exact"/>
        <w:ind w:firstLine="640"/>
        <w:rPr>
          <w:rFonts w:eastAsia="仿宋_GB2312" w:cs="仿宋_GB2312"/>
          <w:kern w:val="0"/>
          <w:sz w:val="32"/>
          <w:szCs w:val="32"/>
        </w:rPr>
      </w:pPr>
    </w:p>
    <w:p>
      <w:pPr>
        <w:pStyle w:val="16"/>
        <w:rPr>
          <w:rFonts w:eastAsia="仿宋_GB2312" w:cs="仿宋_GB2312"/>
          <w:kern w:val="0"/>
          <w:sz w:val="32"/>
          <w:szCs w:val="32"/>
        </w:rPr>
      </w:pPr>
    </w:p>
    <w:p>
      <w:pPr>
        <w:rPr>
          <w:rFonts w:eastAsia="仿宋_GB2312" w:cs="仿宋_GB2312"/>
          <w:kern w:val="0"/>
          <w:sz w:val="32"/>
          <w:szCs w:val="32"/>
        </w:rPr>
      </w:pPr>
    </w:p>
    <w:p>
      <w:pPr>
        <w:pStyle w:val="16"/>
        <w:ind w:left="0" w:firstLineChars="0" w:firstLine="0"/>
        <w:rPr>
          <w:rFonts w:eastAsia="仿宋_GB2312" w:cs="仿宋_GB2312"/>
          <w:kern w:val="0"/>
          <w:sz w:val="32"/>
          <w:szCs w:val="32"/>
        </w:rPr>
      </w:pPr>
    </w:p>
    <w:p>
      <w:pPr>
        <w:pStyle w:val="38"/>
        <w:spacing w:line="560" w:lineRule="exact"/>
        <w:jc w:val="center"/>
        <w:rPr>
          <w:rFonts w:ascii="Times New Roman" w:eastAsia="方正小标宋简体" w:hAnsi="Times New Roman"/>
          <w:color w:val="auto"/>
          <w:kern w:val="2"/>
          <w:sz w:val="44"/>
          <w:szCs w:val="44"/>
        </w:rPr>
      </w:pPr>
      <w:bookmarkStart w:id="153" w:name="_Toc972609480_WPSOffice_Level2"/>
      <w:bookmarkStart w:id="154" w:name="_Toc1974623430_WPSOffice_Level2"/>
      <w:bookmarkStart w:id="155" w:name="_Toc2128138542_WPSOffice_Level2"/>
      <w:bookmarkStart w:id="156" w:name="_Toc1243700013_WPSOffice_Level2"/>
      <w:r>
        <w:rPr>
          <w:rFonts w:ascii="Times New Roman" w:eastAsia="方正小标宋简体" w:hAnsi="Times New Roman"/>
          <w:color w:val="auto"/>
          <w:kern w:val="2"/>
          <w:sz w:val="44"/>
          <w:szCs w:val="44"/>
        </w:rPr>
        <w:t>专项预算项目支出绩效自评报告</w:t>
      </w:r>
      <w:bookmarkEnd w:id="153"/>
      <w:bookmarkEnd w:id="154"/>
      <w:bookmarkEnd w:id="155"/>
      <w:bookmarkEnd w:id="156"/>
    </w:p>
    <w:p>
      <w:pPr>
        <w:autoSpaceDE w:val="0"/>
        <w:autoSpaceDN w:val="0"/>
        <w:adjustRightInd w:val="0"/>
        <w:spacing w:line="560" w:lineRule="exact"/>
        <w:jc w:val="center"/>
        <w:rPr>
          <w:rFonts w:ascii="Times New Roman" w:eastAsia="仿宋_GB2312" w:hAnsi="Times New Roman" w:hint="eastAsia"/>
          <w:kern w:val="0"/>
          <w:sz w:val="24"/>
          <w:szCs w:val="24"/>
          <w:lang w:val="en-US" w:eastAsia="zh-CN"/>
        </w:rPr>
      </w:pPr>
      <w:r>
        <w:rPr>
          <w:rFonts w:ascii="Times New Roman" w:eastAsia="仿宋_GB2312" w:hAnsi="Times New Roman" w:hint="eastAsia"/>
          <w:kern w:val="0"/>
          <w:sz w:val="24"/>
          <w:szCs w:val="24"/>
          <w:lang w:val="en-US" w:eastAsia="zh-CN"/>
        </w:rPr>
        <w:t>（攀枝花军分区聘用安保勤务人员相关经费）</w:t>
      </w:r>
    </w:p>
    <w:p>
      <w:pPr>
        <w:pStyle w:val="38"/>
        <w:spacing w:line="560" w:lineRule="exact"/>
        <w:ind w:firstLine="640"/>
        <w:jc w:val="center"/>
        <w:rPr>
          <w:rFonts w:ascii="Times New Roman" w:hAnsi="Times New Roman"/>
          <w:color w:val="auto"/>
          <w:kern w:val="2"/>
          <w:sz w:val="32"/>
          <w:szCs w:val="32"/>
        </w:rPr>
      </w:pPr>
    </w:p>
    <w:p>
      <w:pPr>
        <w:adjustRightInd w:val="0"/>
        <w:snapToGrid w:val="0"/>
        <w:spacing w:line="560" w:lineRule="exact"/>
        <w:ind w:firstLine="720"/>
        <w:rPr>
          <w:rFonts w:ascii="方正黑体_GBK" w:eastAsia="方正黑体_GBK" w:cs="方正黑体_GBK" w:hint="eastAsia"/>
          <w:bCs w:val="0"/>
          <w:sz w:val="32"/>
          <w:szCs w:val="32"/>
          <w:lang w:val="zh-CN" w:eastAsia="zh-CN" w:bidi="ar-SA"/>
        </w:rPr>
      </w:pPr>
      <w:bookmarkStart w:id="157" w:name="_Toc392471842_WPSOffice_Level2"/>
      <w:bookmarkStart w:id="158" w:name="_Toc864632731_WPSOffice_Level2"/>
      <w:bookmarkStart w:id="159" w:name="_Toc950197376_WPSOffice_Level2"/>
      <w:bookmarkStart w:id="160" w:name="_Toc289819540_WPSOffice_Level2"/>
      <w:r>
        <w:rPr>
          <w:rFonts w:ascii="方正黑体_GBK" w:eastAsia="方正黑体_GBK" w:cs="方正黑体_GBK" w:hint="eastAsia"/>
          <w:bCs w:val="0"/>
          <w:sz w:val="32"/>
          <w:szCs w:val="32"/>
          <w:lang w:val="zh-CN" w:eastAsia="zh-CN" w:bidi="ar-SA"/>
        </w:rPr>
        <w:t>一、项目概况</w:t>
      </w:r>
      <w:bookmarkEnd w:id="157"/>
      <w:bookmarkEnd w:id="158"/>
      <w:bookmarkEnd w:id="159"/>
      <w:bookmarkEnd w:id="160"/>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仿宋_GB2312" w:hint="eastAsia"/>
          <w:kern w:val="0"/>
          <w:sz w:val="32"/>
          <w:szCs w:val="32"/>
          <w:lang w:val="zh-CN" w:eastAsia="zh-CN" w:bidi="ar-SA"/>
        </w:rPr>
        <w:t>为支持国防建设，切实解决攀枝花军分区因部队改革出现的人员紧缺问题。根据2019年4月23日市委议军会议及市委市政府领导有关批示精神，由我局牵头负责为攀枝花军分区提供安保勤务服务，并帮助解决相关费用。目前为攀枝花军分区提供的安保勤务服务主要通过政府购买服务的方式开展，每季度支付相关费用，伙食费按照军分区提供的票据和考勤表据实报销。</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（二）项目绩效目标。</w:t>
      </w:r>
      <w:r>
        <w:rPr>
          <w:rFonts w:ascii="仿宋_GB2312" w:eastAsia="仿宋_GB2312" w:cs="仿宋_GB2312" w:hint="eastAsia"/>
          <w:kern w:val="0"/>
          <w:sz w:val="32"/>
          <w:szCs w:val="32"/>
          <w:lang w:val="en-US" w:eastAsia="zh-CN" w:bidi="ar-SA"/>
        </w:rPr>
        <w:t>通过支付攀枝花军分区聘用安保勤务人员相关经费，保证军分区内部安全稳定、运行有序，更好支持部队备战打仗。</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（三）项目自评步骤及方法。</w:t>
      </w:r>
      <w:r>
        <w:rPr>
          <w:rFonts w:ascii="仿宋_GB2312" w:eastAsia="仿宋_GB2312" w:cs="仿宋_GB2312" w:hint="eastAsia"/>
          <w:kern w:val="0"/>
          <w:sz w:val="32"/>
          <w:szCs w:val="32"/>
          <w:lang w:val="zh-CN" w:eastAsia="zh-CN" w:bidi="ar-SA"/>
        </w:rPr>
        <w:t>本次项目自评严格按照政策要求，坚持客观公正、实事求是原则。以项目实施方案、绩效目标、资金管理办法为依据，全面梳理预算文件、台账资料、财务凭证等基础材料，对照绩效指标逐项核验完成情况，坚持定量与定性相结合的评估方法，客观评估项目产出、效益及目标实现度。通过全面总结成效，深查细摆问题，剖析深层原因，提出切实可行的整改措施，整个过程公开透明、客观公正，严格遵守财政资金管理规定，绩效评价结果真实准确。</w:t>
      </w:r>
    </w:p>
    <w:p>
      <w:pPr>
        <w:adjustRightInd w:val="0"/>
        <w:snapToGrid w:val="0"/>
        <w:spacing w:line="560" w:lineRule="exact"/>
        <w:ind w:firstLine="720"/>
        <w:rPr>
          <w:rFonts w:ascii="方正黑体_GBK" w:eastAsia="方正黑体_GBK" w:cs="方正黑体_GBK" w:hint="eastAsia"/>
          <w:bCs w:val="0"/>
          <w:sz w:val="32"/>
          <w:szCs w:val="32"/>
          <w:lang w:val="zh-CN" w:eastAsia="zh-CN" w:bidi="ar-SA"/>
        </w:rPr>
      </w:pPr>
      <w:bookmarkStart w:id="161" w:name="_Toc941955660_WPSOffice_Level2"/>
      <w:bookmarkStart w:id="162" w:name="_Toc1940040645_WPSOffice_Level2"/>
      <w:bookmarkStart w:id="163" w:name="_Toc29527066_WPSOffice_Level2"/>
      <w:bookmarkStart w:id="164" w:name="_Toc1842225689_WPSOffice_Level2"/>
      <w:r>
        <w:rPr>
          <w:rFonts w:ascii="方正黑体_GBK" w:eastAsia="方正黑体_GBK" w:cs="方正黑体_GBK" w:hint="eastAsia"/>
          <w:bCs w:val="0"/>
          <w:sz w:val="32"/>
          <w:szCs w:val="32"/>
          <w:lang w:val="zh-CN" w:eastAsia="zh-CN" w:bidi="ar-SA"/>
        </w:rPr>
        <w:t>二、项目资金申报及使用情况</w:t>
      </w:r>
      <w:bookmarkEnd w:id="161"/>
      <w:bookmarkEnd w:id="162"/>
      <w:bookmarkEnd w:id="163"/>
      <w:bookmarkEnd w:id="164"/>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（一）项目资金申报及批复情况。</w:t>
      </w:r>
      <w:r>
        <w:rPr>
          <w:rFonts w:ascii="仿宋_GB2312" w:eastAsia="仿宋_GB2312" w:cs="仿宋_GB2312" w:hint="eastAsia"/>
          <w:kern w:val="0"/>
          <w:sz w:val="32"/>
          <w:szCs w:val="32"/>
          <w:lang w:val="en-US" w:eastAsia="zh-CN" w:bidi="ar-SA"/>
        </w:rPr>
        <w:t>2025年度财政部门下达攀财预〔2025〕0001号文件，批复</w:t>
      </w:r>
      <w:r>
        <w:rPr>
          <w:rFonts w:ascii="仿宋_GB2312" w:eastAsia="仿宋_GB2312" w:cs="仿宋_GB2312" w:hint="eastAsia"/>
          <w:kern w:val="0"/>
          <w:sz w:val="32"/>
          <w:szCs w:val="32"/>
          <w:lang w:val="zh-CN" w:eastAsia="zh-CN" w:bidi="ar-SA"/>
        </w:rPr>
        <w:t>攀枝花军分区聘用安保勤务人员项目</w:t>
      </w:r>
      <w:r>
        <w:rPr>
          <w:rFonts w:ascii="仿宋_GB2312" w:eastAsia="仿宋_GB2312" w:cs="仿宋_GB2312" w:hint="eastAsia"/>
          <w:kern w:val="0"/>
          <w:sz w:val="32"/>
          <w:szCs w:val="32"/>
          <w:lang w:val="en-US" w:eastAsia="zh-CN" w:bidi="ar-SA"/>
        </w:rPr>
        <w:t>资金179.58万元。</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1</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资金计划。攀枝花军分区聘用安保勤务人员</w:t>
      </w:r>
      <w:r>
        <w:rPr>
          <w:rFonts w:ascii="仿宋_GB2312" w:eastAsia="仿宋_GB2312" w:cs="仿宋_GB2312" w:hint="eastAsia"/>
          <w:kern w:val="0"/>
          <w:sz w:val="32"/>
          <w:szCs w:val="32"/>
          <w:lang w:val="en-US" w:eastAsia="zh-CN" w:bidi="ar-SA"/>
        </w:rPr>
        <w:t>预算资金179.58万元</w:t>
      </w:r>
      <w:r>
        <w:rPr>
          <w:rFonts w:ascii="仿宋_GB2312" w:eastAsia="仿宋_GB2312" w:cs="仿宋_GB2312" w:hint="eastAsia"/>
          <w:kern w:val="0"/>
          <w:sz w:val="32"/>
          <w:szCs w:val="32"/>
          <w:lang w:val="zh-CN" w:eastAsia="zh-CN" w:bidi="ar-SA"/>
        </w:rPr>
        <w:t>。</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资金到位。市级安排资金</w:t>
      </w:r>
      <w:r>
        <w:rPr>
          <w:rFonts w:ascii="仿宋_GB2312" w:eastAsia="仿宋_GB2312" w:cs="仿宋_GB2312" w:hint="eastAsia"/>
          <w:kern w:val="0"/>
          <w:sz w:val="32"/>
          <w:szCs w:val="32"/>
          <w:lang w:val="en-US" w:eastAsia="zh-CN" w:bidi="ar-SA"/>
        </w:rPr>
        <w:t>179.58万元，到位率100%。</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zh-CN" w:eastAsia="zh-CN" w:bidi="ar-SA"/>
        </w:rPr>
        <w:t>3</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资金使用。支付攀枝花军分区聘用安保勤务人员相关经费</w:t>
      </w:r>
      <w:r>
        <w:rPr>
          <w:rFonts w:ascii="仿宋_GB2312" w:eastAsia="仿宋_GB2312" w:cs="仿宋_GB2312" w:hint="eastAsia"/>
          <w:kern w:val="0"/>
          <w:sz w:val="32"/>
          <w:szCs w:val="32"/>
          <w:lang w:val="en-US" w:eastAsia="zh-CN" w:bidi="ar-SA"/>
        </w:rPr>
        <w:t>共179.58万元，使用率100%。</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（三）项目财务管理情况。</w:t>
      </w:r>
      <w:r>
        <w:rPr>
          <w:rFonts w:ascii="仿宋_GB2312" w:eastAsia="仿宋_GB2312" w:cs="仿宋_GB2312" w:hint="eastAsia"/>
          <w:kern w:val="0"/>
          <w:sz w:val="32"/>
          <w:szCs w:val="32"/>
          <w:lang w:val="en-US" w:eastAsia="zh-CN" w:bidi="ar-SA"/>
        </w:rPr>
        <w:t>项目资金严格按照项目支出范围、用途控制，坚持专款专用，不存在挤占挪用现象，资金支出合法、合理，会计核算符合相关规定。</w:t>
      </w:r>
    </w:p>
    <w:p>
      <w:pPr>
        <w:adjustRightInd w:val="0"/>
        <w:snapToGrid w:val="0"/>
        <w:spacing w:line="560" w:lineRule="exact"/>
        <w:ind w:firstLine="720"/>
        <w:rPr>
          <w:rFonts w:ascii="方正黑体_GBK" w:eastAsia="方正黑体_GBK" w:cs="方正黑体_GBK" w:hint="eastAsia"/>
          <w:bCs w:val="0"/>
          <w:sz w:val="32"/>
          <w:szCs w:val="32"/>
          <w:lang w:val="zh-CN" w:eastAsia="zh-CN" w:bidi="ar-SA"/>
        </w:rPr>
      </w:pPr>
      <w:bookmarkStart w:id="165" w:name="_Toc169932710_WPSOffice_Level2"/>
      <w:bookmarkStart w:id="166" w:name="_Toc1985171873_WPSOffice_Level2"/>
      <w:bookmarkStart w:id="167" w:name="_Toc1860451028_WPSOffice_Level2"/>
      <w:bookmarkStart w:id="168" w:name="_Toc1328740146_WPSOffice_Level2"/>
      <w:r>
        <w:rPr>
          <w:rFonts w:ascii="方正黑体_GBK" w:eastAsia="方正黑体_GBK" w:cs="方正黑体_GBK" w:hint="eastAsia"/>
          <w:bCs w:val="0"/>
          <w:sz w:val="32"/>
          <w:szCs w:val="32"/>
          <w:lang w:val="zh-CN" w:eastAsia="zh-CN" w:bidi="ar-SA"/>
        </w:rPr>
        <w:t>三、项目实施及管理情况</w:t>
      </w:r>
      <w:bookmarkEnd w:id="165"/>
      <w:bookmarkEnd w:id="166"/>
      <w:bookmarkEnd w:id="167"/>
      <w:bookmarkEnd w:id="168"/>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（一）项目组织架构及实施流程。</w:t>
      </w:r>
      <w:r>
        <w:rPr>
          <w:rFonts w:ascii="仿宋_GB2312" w:eastAsia="仿宋_GB2312" w:cs="仿宋_GB2312" w:hint="eastAsia"/>
          <w:kern w:val="0"/>
          <w:sz w:val="32"/>
          <w:szCs w:val="32"/>
          <w:lang w:val="en-US" w:eastAsia="zh-CN" w:bidi="ar-SA"/>
        </w:rPr>
        <w:t>攀枝花军分区聘用安保勤务人员相关经费实行</w:t>
      </w:r>
      <w:r>
        <w:rPr>
          <w:rFonts w:ascii="仿宋_GB2312" w:eastAsia="仿宋_GB2312" w:cs="仿宋_GB2312" w:hint="eastAsia"/>
          <w:kern w:val="0"/>
          <w:sz w:val="32"/>
          <w:szCs w:val="32"/>
          <w:lang w:val="zh-CN" w:eastAsia="zh-CN" w:bidi="ar-SA"/>
        </w:rPr>
        <w:t>“分管领导负责、业务科室推进、财务全程监督”的运行机制。分管领导负责统筹方向，协调解决实施过程中的重大事项；双拥工作科严格按照计划细化分工，压实工作责任，保障项目按节点有序推进；财务人员全流程参与，严格履行预算编制与资金拨付审批职责，加强资金流向全周期监管。整个流程权责清晰、运转顺畅，各环节密切配合，有力保障了项目平稳落地。</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（二）项目管理情况。</w:t>
      </w:r>
      <w:r>
        <w:rPr>
          <w:rFonts w:ascii="仿宋_GB2312" w:eastAsia="仿宋_GB2312" w:cs="仿宋_GB2312" w:hint="eastAsia"/>
          <w:kern w:val="0"/>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（三）项目监管情况。</w:t>
      </w:r>
      <w:r>
        <w:rPr>
          <w:rFonts w:ascii="仿宋_GB2312" w:eastAsia="仿宋_GB2312" w:cs="仿宋_GB2312" w:hint="eastAsia"/>
          <w:kern w:val="0"/>
          <w:sz w:val="32"/>
          <w:szCs w:val="32"/>
          <w:lang w:val="zh-CN" w:eastAsia="zh-CN" w:bidi="ar-SA"/>
        </w:rPr>
        <w:t>严格按照政策规定和资金管理要求实施全过程监管，建立健全审核、复核、监督机制。在对人员认定、资金核算、支付流程等关键环节层层把关、从严审核，确保资金执行到位、程序合法合规。资金使用过程中，坚持每月开展绩效监控，强化动态跟踪与风险防控，确保资金专款专用、安全规范。同时，加强信息公开，定期公示项目进展和资金使用情况，接受社会监督。</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bookmarkStart w:id="169" w:name="_Toc1546188554_WPSOffice_Level2"/>
      <w:bookmarkStart w:id="170" w:name="_Toc1165486176_WPSOffice_Level2"/>
      <w:bookmarkStart w:id="171" w:name="_Toc741066116_WPSOffice_Level2"/>
      <w:bookmarkStart w:id="172" w:name="_Toc143874950_WPSOffice_Level2"/>
      <w:r>
        <w:rPr>
          <w:rFonts w:ascii="方正黑体_GBK" w:eastAsia="方正黑体_GBK" w:cs="方正黑体_GBK" w:hint="eastAsia"/>
          <w:bCs w:val="0"/>
          <w:sz w:val="32"/>
          <w:szCs w:val="32"/>
          <w:lang w:val="zh-CN" w:eastAsia="zh-CN" w:bidi="ar-SA"/>
        </w:rPr>
        <w:t>四、项目绩效情况</w:t>
      </w:r>
      <w:bookmarkEnd w:id="169"/>
      <w:bookmarkEnd w:id="170"/>
      <w:bookmarkEnd w:id="171"/>
      <w:bookmarkEnd w:id="172"/>
      <w:r>
        <w:rPr>
          <w:rFonts w:ascii="仿宋_GB2312" w:eastAsia="仿宋_GB2312" w:cs="仿宋_GB2312" w:hint="eastAsia"/>
          <w:kern w:val="0"/>
          <w:sz w:val="32"/>
          <w:szCs w:val="32"/>
          <w:lang w:val="zh-CN" w:eastAsia="zh-CN" w:bidi="ar-SA"/>
        </w:rPr>
        <w:tab/>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（一）项目完成情况。</w:t>
      </w:r>
      <w:r>
        <w:rPr>
          <w:rFonts w:ascii="仿宋_GB2312" w:eastAsia="仿宋_GB2312" w:cs="仿宋_GB2312" w:hint="eastAsia"/>
          <w:kern w:val="0"/>
          <w:sz w:val="32"/>
          <w:szCs w:val="32"/>
          <w:lang w:val="en-US" w:eastAsia="zh-CN" w:bidi="ar-SA"/>
        </w:rPr>
        <w:t>2025年为攀枝花军分区聘用并支付安保勤务人员</w:t>
      </w:r>
      <w:r>
        <w:rPr>
          <w:rFonts w:ascii="仿宋_GB2312" w:eastAsia="仿宋_GB2312" w:cs="仿宋_GB2312" w:hint="eastAsia"/>
          <w:kern w:val="0"/>
          <w:sz w:val="32"/>
          <w:szCs w:val="32"/>
          <w:lang w:val="zh-CN" w:eastAsia="zh-CN" w:bidi="ar-SA"/>
        </w:rPr>
        <w:t>相关经费</w:t>
      </w:r>
      <w:r>
        <w:rPr>
          <w:rFonts w:ascii="仿宋_GB2312" w:eastAsia="仿宋_GB2312" w:cs="仿宋_GB2312" w:hint="eastAsia"/>
          <w:kern w:val="0"/>
          <w:sz w:val="32"/>
          <w:szCs w:val="32"/>
          <w:lang w:val="en-US" w:eastAsia="zh-CN" w:bidi="ar-SA"/>
        </w:rPr>
        <w:t>共179.58万元，使用率100%。</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（二）项目效益情况。</w:t>
      </w:r>
      <w:r>
        <w:rPr>
          <w:rFonts w:ascii="仿宋_GB2312" w:eastAsia="仿宋_GB2312" w:cs="仿宋_GB2312" w:hint="eastAsia"/>
          <w:kern w:val="0"/>
          <w:sz w:val="32"/>
          <w:szCs w:val="32"/>
          <w:lang w:val="en-US" w:eastAsia="zh-CN" w:bidi="ar-SA"/>
        </w:rPr>
        <w:t>通过支付攀枝花军分区聘用安保勤务人员相关经费，</w:t>
      </w:r>
      <w:r>
        <w:rPr>
          <w:rFonts w:ascii="仿宋_GB2312" w:eastAsia="仿宋_GB2312" w:cs="仿宋_GB2312" w:hint="eastAsia"/>
          <w:kern w:val="0"/>
          <w:sz w:val="32"/>
          <w:szCs w:val="32"/>
          <w:lang w:val="zh-CN" w:eastAsia="zh-CN" w:bidi="ar-SA"/>
        </w:rPr>
        <w:t>有效解决军分区人员紧缺问题，满意度100%，全年无安全事故发生</w:t>
      </w:r>
      <w:r>
        <w:rPr>
          <w:rFonts w:ascii="仿宋_GB2312" w:eastAsia="仿宋_GB2312" w:cs="仿宋_GB2312" w:hint="eastAsia"/>
          <w:kern w:val="0"/>
          <w:sz w:val="32"/>
          <w:szCs w:val="32"/>
          <w:lang w:val="en-US" w:eastAsia="zh-CN" w:bidi="ar-SA"/>
        </w:rPr>
        <w:t>。</w:t>
      </w:r>
    </w:p>
    <w:p>
      <w:pPr>
        <w:adjustRightInd w:val="0"/>
        <w:snapToGrid w:val="0"/>
        <w:spacing w:line="560" w:lineRule="exact"/>
        <w:ind w:firstLine="720"/>
        <w:rPr>
          <w:rFonts w:ascii="方正黑体_GBK" w:eastAsia="方正黑体_GBK" w:cs="方正黑体_GBK" w:hint="eastAsia"/>
          <w:bCs w:val="0"/>
          <w:sz w:val="32"/>
          <w:szCs w:val="32"/>
          <w:lang w:val="zh-CN" w:eastAsia="zh-CN" w:bidi="ar-SA"/>
        </w:rPr>
      </w:pPr>
      <w:bookmarkStart w:id="173" w:name="_Toc1283193105_WPSOffice_Level2"/>
      <w:bookmarkStart w:id="174" w:name="_Toc994691695_WPSOffice_Level2"/>
      <w:bookmarkStart w:id="175" w:name="_Toc1606560906_WPSOffice_Level2"/>
      <w:bookmarkStart w:id="176" w:name="_Toc1768579614_WPSOffice_Level2"/>
      <w:r>
        <w:rPr>
          <w:rFonts w:ascii="方正黑体_GBK" w:eastAsia="方正黑体_GBK" w:cs="方正黑体_GBK" w:hint="eastAsia"/>
          <w:bCs w:val="0"/>
          <w:sz w:val="32"/>
          <w:szCs w:val="32"/>
          <w:lang w:val="zh-CN" w:eastAsia="zh-CN" w:bidi="ar-SA"/>
        </w:rPr>
        <w:t>五、评价结论及建议</w:t>
      </w:r>
      <w:bookmarkEnd w:id="173"/>
      <w:bookmarkEnd w:id="174"/>
      <w:bookmarkEnd w:id="175"/>
      <w:bookmarkEnd w:id="176"/>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军分区聘用安保勤务人员的工作总体表现良好，达到预期目标。安保人员在日常巡逻、门岗值守、应急处置等工作中认真负责，严格执行岗位职责，确保了军分区的安全稳定。通过定期培训和考核，安保人员的专业能力和应急反应能力得到显著提升，能够有效应对各类突发事件，为军分区的各项管理提供了有力保障。自评得分：90。</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Pr>
        <w:pStyle w:val="16"/>
      </w:pPr>
    </w:p>
    <w:p/>
    <w:p>
      <w:pPr>
        <w:pStyle w:val="16"/>
      </w:pPr>
    </w:p>
    <w:p/>
    <w:p>
      <w:pPr>
        <w:pStyle w:val="16"/>
      </w:pPr>
    </w:p>
    <w:p>
      <w:pPr>
        <w:pStyle w:val="38"/>
        <w:spacing w:line="560" w:lineRule="exact"/>
        <w:jc w:val="center"/>
        <w:rPr>
          <w:rFonts w:ascii="Times New Roman" w:eastAsia="方正小标宋简体" w:hAnsi="Times New Roman"/>
          <w:color w:val="auto"/>
          <w:kern w:val="2"/>
          <w:sz w:val="44"/>
          <w:szCs w:val="44"/>
        </w:rPr>
      </w:pPr>
      <w:bookmarkStart w:id="177" w:name="_Toc656874487_WPSOffice_Level2"/>
      <w:bookmarkStart w:id="178" w:name="_Toc1475533767_WPSOffice_Level2"/>
      <w:bookmarkStart w:id="179" w:name="_Toc1384243257_WPSOffice_Level2"/>
      <w:bookmarkStart w:id="180" w:name="_Toc2090159358_WPSOffice_Level2"/>
      <w:r>
        <w:rPr>
          <w:rFonts w:ascii="Times New Roman" w:eastAsia="方正小标宋简体" w:hAnsi="Times New Roman"/>
          <w:color w:val="auto"/>
          <w:kern w:val="2"/>
          <w:sz w:val="44"/>
          <w:szCs w:val="44"/>
        </w:rPr>
        <w:t>专项预算项目支出绩效自评报告</w:t>
      </w:r>
      <w:bookmarkEnd w:id="177"/>
      <w:bookmarkEnd w:id="178"/>
      <w:bookmarkEnd w:id="179"/>
      <w:bookmarkEnd w:id="180"/>
    </w:p>
    <w:p>
      <w:pPr>
        <w:autoSpaceDE w:val="0"/>
        <w:autoSpaceDN w:val="0"/>
        <w:adjustRightInd w:val="0"/>
        <w:spacing w:line="560" w:lineRule="exact"/>
        <w:jc w:val="center"/>
        <w:rPr>
          <w:rFonts w:ascii="Times New Roman" w:eastAsia="仿宋_GB2312" w:hAnsi="Times New Roman" w:hint="eastAsia"/>
          <w:kern w:val="0"/>
          <w:sz w:val="24"/>
          <w:szCs w:val="24"/>
          <w:lang w:val="en-US" w:eastAsia="zh-CN"/>
        </w:rPr>
      </w:pPr>
      <w:r>
        <w:rPr>
          <w:rFonts w:ascii="Times New Roman" w:eastAsia="仿宋_GB2312" w:hAnsi="Times New Roman" w:hint="eastAsia"/>
          <w:kern w:val="0"/>
          <w:sz w:val="24"/>
          <w:szCs w:val="24"/>
          <w:lang w:val="en-US" w:eastAsia="zh-CN"/>
        </w:rPr>
        <w:t>（</w:t>
      </w:r>
      <w:r>
        <w:rPr>
          <w:rFonts w:hint="eastAsia"/>
          <w:kern w:val="0"/>
          <w:sz w:val="24"/>
          <w:szCs w:val="24"/>
          <w:lang w:val="en-US" w:eastAsia="zh-CN"/>
        </w:rPr>
        <w:t>双拥</w:t>
      </w:r>
      <w:r>
        <w:rPr>
          <w:rFonts w:ascii="Times New Roman" w:eastAsia="仿宋_GB2312" w:hAnsi="Times New Roman" w:hint="eastAsia"/>
          <w:kern w:val="0"/>
          <w:sz w:val="24"/>
          <w:szCs w:val="24"/>
          <w:lang w:val="en-US" w:eastAsia="zh-CN"/>
        </w:rPr>
        <w:t>慰问经费）</w:t>
      </w:r>
    </w:p>
    <w:p>
      <w:pPr>
        <w:adjustRightInd w:val="0"/>
        <w:snapToGrid w:val="0"/>
        <w:spacing w:line="600" w:lineRule="exact"/>
        <w:ind w:firstLine="720"/>
        <w:jc w:val="both"/>
        <w:rPr>
          <w:rFonts w:ascii="Times New Roman" w:eastAsia="黑体" w:cs="Times New Roman" w:hAnsi="Times New Roman"/>
          <w:bCs w:val="0"/>
          <w:sz w:val="32"/>
          <w:szCs w:val="32"/>
        </w:rPr>
      </w:pP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181" w:name="_Toc1405547234_WPSOffice_Level2"/>
      <w:bookmarkStart w:id="182" w:name="_Toc1474098171_WPSOffice_Level2"/>
      <w:bookmarkStart w:id="183" w:name="_Toc958860155_WPSOffice_Level2"/>
      <w:bookmarkStart w:id="184" w:name="_Toc768817709_WPSOffice_Level2"/>
      <w:r>
        <w:rPr>
          <w:rFonts w:ascii="Times New Roman" w:eastAsia="黑体" w:cs="Times New Roman" w:hAnsi="Times New Roman" w:hint="eastAsia"/>
          <w:bCs w:val="0"/>
          <w:sz w:val="32"/>
          <w:szCs w:val="32"/>
          <w:lang w:val="zh-CN" w:eastAsia="zh-CN"/>
        </w:rPr>
        <w:t>一、项目概况</w:t>
      </w:r>
      <w:bookmarkEnd w:id="181"/>
      <w:bookmarkEnd w:id="182"/>
      <w:bookmarkEnd w:id="183"/>
      <w:bookmarkEnd w:id="184"/>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仿宋_GB2312" w:hint="eastAsia"/>
          <w:kern w:val="0"/>
          <w:sz w:val="32"/>
          <w:szCs w:val="32"/>
          <w:lang w:val="zh-CN" w:eastAsia="zh-CN" w:bidi="ar-SA"/>
        </w:rPr>
        <w:t>根据《双拥模范城（县）创建命名管理办法》《全国双拥模范城（县）考评标准》相关要求，2025年市委、市政府在春节期间和“八一”建军节对驻攀部队、攀枝花舰官兵和优抚对象代表开展走访慰问活动。</w:t>
      </w:r>
    </w:p>
    <w:p>
      <w:pPr>
        <w:adjustRightInd w:val="0"/>
        <w:snapToGrid w:val="0"/>
        <w:spacing w:line="600" w:lineRule="exact"/>
        <w:ind w:firstLine="720"/>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（二）项目绩效目标。</w:t>
      </w:r>
      <w:r>
        <w:rPr>
          <w:rFonts w:ascii="仿宋_GB2312" w:eastAsia="仿宋_GB2312" w:cs="仿宋_GB2312" w:hint="eastAsia"/>
          <w:kern w:val="0"/>
          <w:sz w:val="32"/>
          <w:szCs w:val="32"/>
          <w:lang w:val="en-US" w:eastAsia="zh-CN" w:bidi="ar-SA"/>
        </w:rPr>
        <w:t>通过对驻攀部队、攀枝花舰部队官兵</w:t>
      </w:r>
      <w:r>
        <w:rPr>
          <w:rFonts w:ascii="仿宋_GB2312" w:eastAsia="仿宋_GB2312" w:cs="仿宋_GB2312" w:hint="eastAsia"/>
          <w:kern w:val="0"/>
          <w:sz w:val="32"/>
          <w:szCs w:val="32"/>
          <w:lang w:val="zh-CN" w:eastAsia="zh-CN" w:bidi="ar-SA"/>
        </w:rPr>
        <w:t>和优抚对象</w:t>
      </w:r>
      <w:r>
        <w:rPr>
          <w:rFonts w:ascii="仿宋_GB2312" w:eastAsia="仿宋_GB2312" w:cs="仿宋_GB2312" w:hint="eastAsia"/>
          <w:kern w:val="0"/>
          <w:sz w:val="32"/>
          <w:szCs w:val="32"/>
          <w:lang w:val="en-US" w:eastAsia="zh-CN" w:bidi="ar-SA"/>
        </w:rPr>
        <w:t>走访慰问，</w:t>
      </w:r>
      <w:r>
        <w:rPr>
          <w:rFonts w:ascii="仿宋_GB2312" w:eastAsia="仿宋_GB2312" w:cs="仿宋_GB2312" w:hint="eastAsia"/>
          <w:kern w:val="0"/>
          <w:sz w:val="32"/>
          <w:szCs w:val="32"/>
          <w:lang w:val="zh-CN" w:eastAsia="zh-CN" w:bidi="ar-SA"/>
        </w:rPr>
        <w:t>进一步激发部队官兵投身强军事业的热情与动力</w:t>
      </w:r>
      <w:r>
        <w:rPr>
          <w:rFonts w:ascii="仿宋_GB2312" w:eastAsia="仿宋_GB2312" w:cs="仿宋_GB2312" w:hint="eastAsia"/>
          <w:kern w:val="0"/>
          <w:sz w:val="32"/>
          <w:szCs w:val="32"/>
          <w:lang w:val="en-US" w:eastAsia="zh-CN" w:bidi="ar-SA"/>
        </w:rPr>
        <w:t>。</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（三）项目自评步骤及方法。</w:t>
      </w:r>
      <w:r>
        <w:rPr>
          <w:rFonts w:ascii="仿宋_GB2312" w:eastAsia="仿宋_GB2312" w:cs="仿宋_GB2312" w:hint="eastAsia"/>
          <w:kern w:val="0"/>
          <w:sz w:val="32"/>
          <w:szCs w:val="32"/>
          <w:lang w:val="zh-CN" w:eastAsia="zh-CN" w:bidi="ar-SA"/>
        </w:rPr>
        <w:t>本次项目自评严格按照政策要求，坚持客观公正、实事求是原则。以项目实施方案、绩效目标、资金管理办法为依据，全面梳理预算文件、台账资料、财务凭证等基础材料，对照绩效指标逐项核验完成情况，坚持定量与定性相结合的评估方法，客观评估项目产出、效益及目标实现度。通过全面总结成效，深查细摆问题，剖析深层原因，提出切实可行的整改措施，整个过程公开透明、客观公正，严格遵守财政资金管理规定，绩效评价结果真实准确。</w:t>
      </w: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185" w:name="_Toc509790158_WPSOffice_Level2"/>
      <w:bookmarkStart w:id="186" w:name="_Toc1370575619_WPSOffice_Level2"/>
      <w:bookmarkStart w:id="187" w:name="_Toc873943714_WPSOffice_Level2"/>
      <w:bookmarkStart w:id="188" w:name="_Toc863717953_WPSOffice_Level2"/>
      <w:r>
        <w:rPr>
          <w:rFonts w:ascii="Times New Roman" w:eastAsia="黑体" w:cs="Times New Roman" w:hAnsi="Times New Roman" w:hint="eastAsia"/>
          <w:bCs w:val="0"/>
          <w:sz w:val="32"/>
          <w:szCs w:val="32"/>
          <w:lang w:val="zh-CN" w:eastAsia="zh-CN"/>
        </w:rPr>
        <w:t>二、项目资金申报及使用情况</w:t>
      </w:r>
      <w:bookmarkEnd w:id="185"/>
      <w:bookmarkEnd w:id="186"/>
      <w:bookmarkEnd w:id="187"/>
      <w:bookmarkEnd w:id="188"/>
    </w:p>
    <w:p>
      <w:pPr>
        <w:adjustRightInd w:val="0"/>
        <w:snapToGrid w:val="0"/>
        <w:spacing w:line="600" w:lineRule="exact"/>
        <w:ind w:firstLine="720"/>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（一）项目资金申报及批复情况。</w:t>
      </w:r>
      <w:r>
        <w:rPr>
          <w:rFonts w:ascii="仿宋_GB2312" w:eastAsia="仿宋_GB2312" w:cs="仿宋_GB2312" w:hint="eastAsia"/>
          <w:kern w:val="0"/>
          <w:sz w:val="32"/>
          <w:szCs w:val="32"/>
          <w:lang w:val="en-US" w:eastAsia="zh-CN" w:bidi="ar-SA"/>
        </w:rPr>
        <w:t>2025年度财政部门下达攀财预〔2025〕0001号文件，批复</w:t>
      </w:r>
      <w:r>
        <w:rPr>
          <w:rFonts w:ascii="仿宋_GB2312" w:eastAsia="仿宋_GB2312" w:cs="仿宋_GB2312" w:hint="eastAsia"/>
          <w:kern w:val="0"/>
          <w:sz w:val="32"/>
          <w:szCs w:val="32"/>
          <w:lang w:val="zh-CN" w:eastAsia="zh-CN" w:bidi="ar-SA"/>
        </w:rPr>
        <w:t>走访慰问</w:t>
      </w:r>
      <w:r>
        <w:rPr>
          <w:rFonts w:ascii="仿宋_GB2312" w:eastAsia="仿宋_GB2312" w:cs="仿宋_GB2312" w:hint="eastAsia"/>
          <w:kern w:val="0"/>
          <w:sz w:val="32"/>
          <w:szCs w:val="32"/>
          <w:lang w:val="en-US" w:eastAsia="zh-CN" w:bidi="ar-SA"/>
        </w:rPr>
        <w:t>资金37.03万元。</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1</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资金计划。走访慰问</w:t>
      </w:r>
      <w:r>
        <w:rPr>
          <w:rFonts w:ascii="仿宋_GB2312" w:eastAsia="仿宋_GB2312" w:cs="仿宋_GB2312" w:hint="eastAsia"/>
          <w:kern w:val="0"/>
          <w:sz w:val="32"/>
          <w:szCs w:val="32"/>
          <w:lang w:val="en-US" w:eastAsia="zh-CN" w:bidi="ar-SA"/>
        </w:rPr>
        <w:t>预算资金37.03万元</w:t>
      </w:r>
      <w:r>
        <w:rPr>
          <w:rFonts w:ascii="仿宋_GB2312" w:eastAsia="仿宋_GB2312" w:cs="仿宋_GB2312" w:hint="eastAsia"/>
          <w:kern w:val="0"/>
          <w:sz w:val="32"/>
          <w:szCs w:val="32"/>
          <w:lang w:val="zh-CN" w:eastAsia="zh-CN" w:bidi="ar-SA"/>
        </w:rPr>
        <w:t>。</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资金到位。市级安排资金</w:t>
      </w:r>
      <w:r>
        <w:rPr>
          <w:rFonts w:ascii="仿宋_GB2312" w:eastAsia="仿宋_GB2312" w:cs="仿宋_GB2312" w:hint="eastAsia"/>
          <w:kern w:val="0"/>
          <w:sz w:val="32"/>
          <w:szCs w:val="32"/>
          <w:lang w:val="en-US" w:eastAsia="zh-CN" w:bidi="ar-SA"/>
        </w:rPr>
        <w:t>37.03万元，到位率100%。</w:t>
      </w:r>
    </w:p>
    <w:p>
      <w:pPr>
        <w:adjustRightInd w:val="0"/>
        <w:snapToGrid w:val="0"/>
        <w:spacing w:line="600" w:lineRule="exact"/>
        <w:ind w:firstLine="720"/>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zh-CN" w:eastAsia="zh-CN" w:bidi="ar-SA"/>
        </w:rPr>
        <w:t>3</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资金使用。支付走访慰问经费</w:t>
      </w:r>
      <w:r>
        <w:rPr>
          <w:rFonts w:ascii="仿宋_GB2312" w:eastAsia="仿宋_GB2312" w:cs="仿宋_GB2312" w:hint="eastAsia"/>
          <w:kern w:val="0"/>
          <w:sz w:val="32"/>
          <w:szCs w:val="32"/>
          <w:lang w:val="en-US" w:eastAsia="zh-CN" w:bidi="ar-SA"/>
        </w:rPr>
        <w:t>共37.03万元，使用率100%。</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（三）项目财务管理情况。</w:t>
      </w:r>
      <w:r>
        <w:rPr>
          <w:rFonts w:ascii="仿宋_GB2312" w:eastAsia="仿宋_GB2312" w:cs="仿宋_GB2312" w:hint="eastAsia"/>
          <w:kern w:val="0"/>
          <w:sz w:val="32"/>
          <w:szCs w:val="32"/>
          <w:lang w:val="en-US" w:eastAsia="zh-CN" w:bidi="ar-SA"/>
        </w:rPr>
        <w:t>项目资金严格按照项目支出范围、用途控制，坚持专款专用，不存在挤占挪用现象，资金支出合法、合理，会计核算符合相关规定。</w:t>
      </w: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189" w:name="_Toc464268790_WPSOffice_Level2"/>
      <w:bookmarkStart w:id="190" w:name="_Toc1611874286_WPSOffice_Level2"/>
      <w:bookmarkStart w:id="191" w:name="_Toc1210018936_WPSOffice_Level2"/>
      <w:bookmarkStart w:id="192" w:name="_Toc258632404_WPSOffice_Level2"/>
      <w:r>
        <w:rPr>
          <w:rFonts w:ascii="Times New Roman" w:eastAsia="黑体" w:cs="Times New Roman" w:hAnsi="Times New Roman" w:hint="eastAsia"/>
          <w:bCs w:val="0"/>
          <w:sz w:val="32"/>
          <w:szCs w:val="32"/>
          <w:lang w:val="zh-CN" w:eastAsia="zh-CN"/>
        </w:rPr>
        <w:t>三、项目实施及管理情况</w:t>
      </w:r>
      <w:bookmarkEnd w:id="189"/>
      <w:bookmarkEnd w:id="190"/>
      <w:bookmarkEnd w:id="191"/>
      <w:bookmarkEnd w:id="192"/>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（一）项目组织架构及实施流程。</w:t>
      </w:r>
      <w:r>
        <w:rPr>
          <w:rFonts w:ascii="仿宋_GB2312" w:eastAsia="仿宋_GB2312" w:cs="仿宋_GB2312" w:hint="eastAsia"/>
          <w:kern w:val="0"/>
          <w:sz w:val="32"/>
          <w:szCs w:val="32"/>
          <w:lang w:val="en-US" w:eastAsia="zh-CN" w:bidi="ar-SA"/>
        </w:rPr>
        <w:t>双拥慰问经费实行</w:t>
      </w:r>
      <w:r>
        <w:rPr>
          <w:rFonts w:ascii="仿宋_GB2312" w:eastAsia="仿宋_GB2312" w:cs="仿宋_GB2312" w:hint="eastAsia"/>
          <w:kern w:val="0"/>
          <w:sz w:val="32"/>
          <w:szCs w:val="32"/>
          <w:lang w:val="zh-CN" w:eastAsia="zh-CN" w:bidi="ar-SA"/>
        </w:rPr>
        <w:t>“分管领导负责、科室推进、财务全程监督”的运行机制。分管领导负责统筹方向，协调解决实施过程中的重大事项；双拥工作科严格按照计划细化分工，压实工作责任，保障项目按节点有序推进；财务人员全流程参与，严格履行预算编制与资金拨付审批职责，加强资金流向全周期监管。整个流程权责清晰、运转顺畅，各环节密切配合，有力保障了项目平稳落地。</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（二）项目管理情况。</w:t>
      </w:r>
      <w:r>
        <w:rPr>
          <w:rFonts w:ascii="仿宋_GB2312" w:eastAsia="仿宋_GB2312" w:cs="仿宋_GB2312" w:hint="eastAsia"/>
          <w:kern w:val="0"/>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（三）项目监管情况。</w:t>
      </w:r>
      <w:r>
        <w:rPr>
          <w:rFonts w:ascii="仿宋_GB2312" w:eastAsia="仿宋_GB2312" w:cs="仿宋_GB2312" w:hint="eastAsia"/>
          <w:kern w:val="0"/>
          <w:sz w:val="32"/>
          <w:szCs w:val="32"/>
          <w:lang w:val="zh-CN" w:eastAsia="zh-CN" w:bidi="ar-SA"/>
        </w:rPr>
        <w:t>严格按照政策规定和资金管理要求实施全过程监管，建立健全审核、复核、监督机制。在对走访对象、资金核算、支付流程等关键环节层层把关、从严审核，确保资金执行到位、程序合法合规。资金使用过程中，坚持每月开展绩效监控，强化动态跟踪与风险防控，确保资金专款专用、安全规范。同时，加强信息公开，定期公示项目进展和资金使用情况，接受社会监督。</w:t>
      </w: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193" w:name="_Toc2086265314_WPSOffice_Level2"/>
      <w:bookmarkStart w:id="194" w:name="_Toc1580757119_WPSOffice_Level2"/>
      <w:bookmarkStart w:id="195" w:name="_Toc1716148410_WPSOffice_Level2"/>
      <w:bookmarkStart w:id="196" w:name="_Toc1109523931_WPSOffice_Level2"/>
      <w:r>
        <w:rPr>
          <w:rFonts w:ascii="Times New Roman" w:eastAsia="黑体" w:cs="Times New Roman" w:hAnsi="Times New Roman" w:hint="eastAsia"/>
          <w:bCs w:val="0"/>
          <w:sz w:val="32"/>
          <w:szCs w:val="32"/>
          <w:lang w:val="zh-CN" w:eastAsia="zh-CN"/>
        </w:rPr>
        <w:t>四、项目绩效情况</w:t>
      </w:r>
      <w:bookmarkEnd w:id="193"/>
      <w:bookmarkEnd w:id="194"/>
      <w:bookmarkEnd w:id="195"/>
      <w:bookmarkEnd w:id="196"/>
      <w:r>
        <w:rPr>
          <w:rFonts w:ascii="Times New Roman" w:eastAsia="黑体" w:cs="Times New Roman" w:hAnsi="Times New Roman" w:hint="eastAsia"/>
          <w:bCs w:val="0"/>
          <w:sz w:val="32"/>
          <w:szCs w:val="32"/>
          <w:lang w:val="zh-CN" w:eastAsia="zh-CN"/>
        </w:rPr>
        <w:tab/>
      </w:r>
    </w:p>
    <w:p>
      <w:pPr>
        <w:adjustRightInd w:val="0"/>
        <w:snapToGrid w:val="0"/>
        <w:spacing w:line="600" w:lineRule="exact"/>
        <w:ind w:firstLineChars="200" w:firstLine="640"/>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（一）项目完成情况。</w:t>
      </w:r>
      <w:r>
        <w:rPr>
          <w:rFonts w:ascii="仿宋_GB2312" w:eastAsia="仿宋_GB2312" w:cs="仿宋_GB2312" w:hint="eastAsia"/>
          <w:kern w:val="0"/>
          <w:sz w:val="32"/>
          <w:szCs w:val="32"/>
          <w:lang w:val="en-US" w:eastAsia="zh-CN" w:bidi="ar-SA"/>
        </w:rPr>
        <w:t>2025年走访慰问攀枝花军分区、武警攀枝花支队、攀枝花舰部队官兵</w:t>
      </w:r>
      <w:r>
        <w:rPr>
          <w:rFonts w:ascii="仿宋_GB2312" w:eastAsia="仿宋_GB2312" w:cs="仿宋_GB2312" w:hint="eastAsia"/>
          <w:kern w:val="0"/>
          <w:sz w:val="32"/>
          <w:szCs w:val="32"/>
          <w:lang w:val="zh-CN" w:eastAsia="zh-CN" w:bidi="ar-SA"/>
        </w:rPr>
        <w:t>和优抚对象</w:t>
      </w:r>
      <w:r>
        <w:rPr>
          <w:rFonts w:ascii="仿宋_GB2312" w:eastAsia="仿宋_GB2312" w:cs="仿宋_GB2312" w:hint="eastAsia"/>
          <w:kern w:val="0"/>
          <w:sz w:val="32"/>
          <w:szCs w:val="32"/>
          <w:lang w:val="en-US" w:eastAsia="zh-CN" w:bidi="ar-SA"/>
        </w:rPr>
        <w:t>相关经费共37.03万元，使用率100%。</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（二）项目效益情况。</w:t>
      </w:r>
      <w:r>
        <w:rPr>
          <w:rFonts w:ascii="仿宋_GB2312" w:eastAsia="仿宋_GB2312" w:cs="仿宋_GB2312" w:hint="eastAsia"/>
          <w:kern w:val="0"/>
          <w:sz w:val="32"/>
          <w:szCs w:val="32"/>
          <w:lang w:val="en-US" w:eastAsia="zh-CN" w:bidi="ar-SA"/>
        </w:rPr>
        <w:t>通过支付走访慰问经费，看望慰问驻地部队官兵</w:t>
      </w:r>
      <w:r>
        <w:rPr>
          <w:rFonts w:ascii="仿宋_GB2312" w:eastAsia="仿宋_GB2312" w:cs="仿宋_GB2312" w:hint="eastAsia"/>
          <w:kern w:val="0"/>
          <w:sz w:val="32"/>
          <w:szCs w:val="32"/>
          <w:lang w:val="zh-CN" w:eastAsia="zh-CN" w:bidi="ar-SA"/>
        </w:rPr>
        <w:t>和优抚对象</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有效激发部队官兵投身强军事业的热情与动力，进一步营造了浓厚尊崇氛围</w:t>
      </w:r>
      <w:r>
        <w:rPr>
          <w:rFonts w:ascii="仿宋_GB2312" w:eastAsia="仿宋_GB2312" w:cs="仿宋_GB2312" w:hint="eastAsia"/>
          <w:kern w:val="0"/>
          <w:sz w:val="32"/>
          <w:szCs w:val="32"/>
          <w:lang w:val="en-US" w:eastAsia="zh-CN" w:bidi="ar-SA"/>
        </w:rPr>
        <w:t>。</w:t>
      </w: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197" w:name="_Toc1642831160_WPSOffice_Level2"/>
      <w:bookmarkStart w:id="198" w:name="_Toc2024388799_WPSOffice_Level2"/>
      <w:bookmarkStart w:id="199" w:name="_Toc1694846183_WPSOffice_Level2"/>
      <w:bookmarkStart w:id="200" w:name="_Toc762742021_WPSOffice_Level2"/>
      <w:r>
        <w:rPr>
          <w:rFonts w:ascii="Times New Roman" w:eastAsia="黑体" w:cs="Times New Roman" w:hAnsi="Times New Roman" w:hint="eastAsia"/>
          <w:bCs w:val="0"/>
          <w:sz w:val="32"/>
          <w:szCs w:val="32"/>
          <w:lang w:val="zh-CN" w:eastAsia="zh-CN"/>
        </w:rPr>
        <w:t>五、评价结论及建议</w:t>
      </w:r>
      <w:bookmarkEnd w:id="197"/>
      <w:bookmarkEnd w:id="198"/>
      <w:bookmarkEnd w:id="199"/>
      <w:bookmarkEnd w:id="200"/>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在2025年的“春节”和“八一”建军节前后，由市委、市政府、市人大、市政协四大班子的主要领导对我市驻攀部队开展走访慰问，发放慰问金，赠送慰问品，驻攀部队、攀枝花舰官兵和优抚对象反馈良好，达到预期目标。通过走访慰问，驻地部队官兵军心士气高昂，练兵备战热情高涨，能够有效有效履行新时代使命任务，积极投身攀枝花经济社会发展大局。自评得分：91。</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Pr>
        <w:pStyle w:val="38"/>
        <w:tabs>
          <w:tab w:val="left" w:pos="6400"/>
        </w:tabs>
        <w:spacing w:line="600" w:lineRule="exact"/>
        <w:jc w:val="center"/>
        <w:rPr>
          <w:rFonts w:ascii="Times New Roman" w:eastAsia="方正小标宋简体" w:hAnsi="Times New Roman"/>
          <w:color w:val="auto"/>
          <w:kern w:val="2"/>
          <w:sz w:val="40"/>
          <w:szCs w:val="40"/>
        </w:rPr>
      </w:pPr>
      <w:bookmarkStart w:id="201" w:name="_Toc1767963311_WPSOffice_Level2"/>
      <w:bookmarkStart w:id="202" w:name="_Toc446733408_WPSOffice_Level2"/>
      <w:bookmarkStart w:id="203" w:name="_Toc2036038594_WPSOffice_Level2"/>
      <w:bookmarkStart w:id="204" w:name="_Toc1990939743_WPSOffice_Level2"/>
      <w:r>
        <w:rPr>
          <w:rFonts w:ascii="Times New Roman" w:eastAsia="方正小标宋简体" w:hAnsi="Times New Roman"/>
          <w:color w:val="auto"/>
          <w:kern w:val="2"/>
          <w:sz w:val="40"/>
          <w:szCs w:val="40"/>
        </w:rPr>
        <w:t>专项预算项目支出绩效自评报告</w:t>
      </w:r>
      <w:bookmarkEnd w:id="201"/>
      <w:bookmarkEnd w:id="202"/>
      <w:bookmarkEnd w:id="203"/>
      <w:bookmarkEnd w:id="204"/>
    </w:p>
    <w:p>
      <w:pPr>
        <w:autoSpaceDE w:val="0"/>
        <w:autoSpaceDN w:val="0"/>
        <w:adjustRightInd w:val="0"/>
        <w:spacing w:line="560" w:lineRule="exact"/>
        <w:jc w:val="center"/>
        <w:rPr>
          <w:rFonts w:ascii="Times New Roman" w:eastAsia="仿宋_GB2312" w:cs="Times New Roman" w:hAnsi="Times New Roman" w:hint="eastAsia"/>
          <w:bCs w:val="0"/>
          <w:kern w:val="0"/>
          <w:sz w:val="24"/>
          <w:szCs w:val="24"/>
          <w:lang w:val="en-US" w:eastAsia="zh-CN"/>
        </w:rPr>
      </w:pPr>
      <w:r>
        <w:rPr>
          <w:rFonts w:ascii="Times New Roman" w:eastAsia="仿宋_GB2312" w:cs="Times New Roman" w:hAnsi="Times New Roman" w:hint="eastAsia"/>
          <w:bCs w:val="0"/>
          <w:kern w:val="0"/>
          <w:sz w:val="24"/>
          <w:szCs w:val="24"/>
          <w:lang w:val="en-US" w:eastAsia="zh-CN"/>
        </w:rPr>
        <w:t>（参试人员体检经费）</w:t>
      </w:r>
    </w:p>
    <w:p>
      <w:pPr>
        <w:pStyle w:val="38"/>
        <w:keepNext w:val="0"/>
        <w:keepLines w:val="0"/>
        <w:pageBreakBefore w:val="0"/>
        <w:widowControl w:val="0"/>
        <w:tabs>
          <w:tab w:val="left" w:pos="6400"/>
        </w:tabs>
        <w:kinsoku/>
        <w:wordWrap/>
        <w:overflowPunct/>
        <w:topLinePunct w:val="0"/>
        <w:bidi w:val="0"/>
        <w:spacing w:line="540" w:lineRule="exact"/>
        <w:ind w:firstLine="640"/>
        <w:jc w:val="center"/>
        <w:textAlignment w:val="auto"/>
        <w:rPr>
          <w:rFonts w:ascii="Times New Roman" w:hAnsi="Times New Roman"/>
          <w:color w:val="auto"/>
          <w:kern w:val="2"/>
          <w:sz w:val="32"/>
          <w:szCs w:val="32"/>
        </w:rPr>
      </w:pPr>
    </w:p>
    <w:p>
      <w:pPr>
        <w:keepNext w:val="0"/>
        <w:keepLines w:val="0"/>
        <w:pageBreakBefore w:val="0"/>
        <w:widowControl w:val="0"/>
        <w:kinsoku/>
        <w:wordWrap/>
        <w:overflowPunct/>
        <w:topLinePunct w:val="0"/>
        <w:bidi w:val="0"/>
        <w:adjustRightInd w:val="0"/>
        <w:snapToGrid w:val="0"/>
        <w:spacing w:line="540" w:lineRule="exact"/>
        <w:ind w:firstLine="720"/>
        <w:textAlignment w:val="auto"/>
        <w:rPr>
          <w:rFonts w:ascii="Times New Roman" w:eastAsia="黑体" w:cs="Times New Roman" w:hAnsi="Times New Roman"/>
          <w:bCs w:val="0"/>
          <w:sz w:val="32"/>
          <w:szCs w:val="32"/>
          <w:lang w:val="zh-CN"/>
        </w:rPr>
      </w:pPr>
      <w:bookmarkStart w:id="205" w:name="_Toc1166778759_WPSOffice_Level2"/>
      <w:bookmarkStart w:id="206" w:name="_Toc1050051738_WPSOffice_Level2"/>
      <w:bookmarkStart w:id="207" w:name="_Toc578987684_WPSOffice_Level2"/>
      <w:bookmarkStart w:id="208" w:name="_Toc627501000_WPSOffice_Level2"/>
      <w:r>
        <w:rPr>
          <w:rFonts w:ascii="Times New Roman" w:eastAsia="黑体" w:cs="Times New Roman" w:hAnsi="Times New Roman"/>
          <w:bCs w:val="0"/>
          <w:sz w:val="32"/>
          <w:szCs w:val="32"/>
          <w:lang w:val="zh-CN"/>
        </w:rPr>
        <w:t>一、项目概况</w:t>
      </w:r>
      <w:bookmarkEnd w:id="205"/>
      <w:bookmarkEnd w:id="206"/>
      <w:bookmarkEnd w:id="207"/>
      <w:bookmarkEnd w:id="208"/>
    </w:p>
    <w:p>
      <w:pPr>
        <w:keepNext w:val="0"/>
        <w:keepLines w:val="0"/>
        <w:pageBreakBefore w:val="0"/>
        <w:widowControl w:val="0"/>
        <w:kinsoku/>
        <w:wordWrap/>
        <w:overflowPunct/>
        <w:topLinePunct w:val="0"/>
        <w:bidi w:val="0"/>
        <w:adjustRightInd w:val="0"/>
        <w:snapToGrid w:val="0"/>
        <w:spacing w:line="540" w:lineRule="exact"/>
        <w:ind w:firstLine="720"/>
        <w:textAlignment w:val="auto"/>
        <w:rPr>
          <w:rFonts w:ascii="仿宋_GB2312" w:eastAsia="仿宋_GB2312" w:cs="Times New Roman" w:hint="eastAsia"/>
          <w:bCs w:val="0"/>
          <w:kern w:val="2"/>
          <w:sz w:val="32"/>
          <w:szCs w:val="32"/>
          <w:lang w:val="en-US"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Times New Roman" w:hint="eastAsia"/>
          <w:bCs w:val="0"/>
          <w:kern w:val="2"/>
          <w:sz w:val="32"/>
          <w:szCs w:val="32"/>
          <w:lang w:val="en-US" w:eastAsia="zh-CN" w:bidi="ar-SA"/>
        </w:rPr>
        <w:t>按照市政府对《攀枝花市民政局 攀枝花市财政局关于解决我市参试涉核人员体检经费的请示》（攀民政〔2010〕14号）的批示要求，从2012年起每年定期对我市享受定期抚恤补助的参试涉核人员进行一次常规身体检查。2019年市退役军人事务局成立后，该事项由市退役军人事务局办理，资金根据上年度体检人数和体检标准实际情况确定。</w:t>
      </w:r>
    </w:p>
    <w:p>
      <w:pPr>
        <w:keepNext w:val="0"/>
        <w:keepLines w:val="0"/>
        <w:pageBreakBefore w:val="0"/>
        <w:widowControl w:val="0"/>
        <w:tabs>
          <w:tab w:val="left" w:pos="6400"/>
        </w:tabs>
        <w:kinsoku/>
        <w:wordWrap/>
        <w:overflowPunct/>
        <w:topLinePunct w:val="0"/>
        <w:bidi w:val="0"/>
        <w:adjustRightInd w:val="0"/>
        <w:snapToGrid w:val="0"/>
        <w:spacing w:line="540" w:lineRule="exact"/>
        <w:ind w:firstLineChars="200" w:firstLine="640"/>
        <w:textAlignment w:val="auto"/>
        <w:rPr>
          <w:rFonts w:ascii="仿宋_GB2312" w:eastAsia="仿宋_GB2312" w:cs="Times New Roman" w:hint="eastAsia"/>
          <w:bCs w:val="0"/>
          <w:kern w:val="2"/>
          <w:sz w:val="32"/>
          <w:szCs w:val="32"/>
          <w:lang w:val="en-US" w:eastAsia="zh-CN" w:bidi="ar-SA"/>
        </w:rPr>
      </w:pPr>
      <w:r>
        <w:rPr>
          <w:rFonts w:ascii="Times New Roman" w:eastAsia="楷体_GB2312" w:cs="Times New Roman" w:hAnsi="Times New Roman" w:hint="eastAsia"/>
          <w:b/>
          <w:bCs w:val="0"/>
          <w:sz w:val="32"/>
          <w:szCs w:val="32"/>
          <w:lang w:val="zh-CN" w:eastAsia="zh-CN"/>
        </w:rPr>
        <w:t>（二）项目绩效目标。</w:t>
      </w:r>
      <w:r>
        <w:rPr>
          <w:rFonts w:ascii="仿宋_GB2312" w:eastAsia="仿宋_GB2312" w:cs="Times New Roman" w:hint="eastAsia"/>
          <w:bCs w:val="0"/>
          <w:kern w:val="2"/>
          <w:sz w:val="32"/>
          <w:szCs w:val="32"/>
          <w:lang w:val="en-US" w:eastAsia="zh-CN" w:bidi="ar-SA"/>
        </w:rPr>
        <w:t>2024年组织我市享受定期抚恤补助的200余名涉核人员，到市中心医院进行常规身体检查。</w:t>
      </w:r>
    </w:p>
    <w:p>
      <w:pPr>
        <w:keepNext w:val="0"/>
        <w:keepLines w:val="0"/>
        <w:pageBreakBefore w:val="0"/>
        <w:widowControl w:val="0"/>
        <w:kinsoku/>
        <w:wordWrap/>
        <w:overflowPunct/>
        <w:topLinePunct w:val="0"/>
        <w:bidi w:val="0"/>
        <w:adjustRightInd w:val="0"/>
        <w:snapToGrid w:val="0"/>
        <w:spacing w:line="540" w:lineRule="exact"/>
        <w:ind w:firstLineChars="200" w:firstLine="640"/>
        <w:textAlignment w:val="auto"/>
        <w:rPr>
          <w:rFonts w:ascii="仿宋_GB2312" w:eastAsia="仿宋_GB2312" w:cs="Times New Roman" w:hint="eastAsia"/>
          <w:bCs w:val="0"/>
          <w:kern w:val="2"/>
          <w:sz w:val="32"/>
          <w:szCs w:val="32"/>
          <w:lang w:val="zh-CN" w:eastAsia="zh-CN" w:bidi="ar-SA"/>
        </w:rPr>
      </w:pPr>
      <w:r>
        <w:rPr>
          <w:rFonts w:ascii="Times New Roman" w:eastAsia="楷体_GB2312" w:cs="Times New Roman" w:hAnsi="Times New Roman" w:hint="eastAsia"/>
          <w:b/>
          <w:bCs w:val="0"/>
          <w:sz w:val="32"/>
          <w:szCs w:val="32"/>
          <w:lang w:val="zh-CN" w:eastAsia="zh-CN"/>
        </w:rPr>
        <w:t>（三）项目自评步骤及方法。</w:t>
      </w:r>
      <w:r>
        <w:rPr>
          <w:rFonts w:ascii="仿宋_GB2312" w:eastAsia="仿宋_GB2312" w:cs="Times New Roman" w:hint="eastAsia"/>
          <w:bCs w:val="0"/>
          <w:kern w:val="2"/>
          <w:sz w:val="32"/>
          <w:szCs w:val="32"/>
          <w:lang w:val="zh-CN" w:eastAsia="zh-CN" w:bidi="ar-SA"/>
        </w:rPr>
        <w:t>本次项目自评严格按照政策要求，坚持客观公正、实事求是原则。以项目实施方案、绩效目标、资金管理办法为依据，全面梳理预算文件、台账资料、财务凭证等基础材料，对照绩效指标逐项核验完成情况，坚持定量与定性相结合的评估方法，客观评估项目产出、效益及目标实现度。通过全面总结成效，深查细摆问题，剖析深层原因，提出切实可行的整改措施，整个过程公开透明、客观公正，严格遵守财政资金管理规定，绩效评价结果真实准确。</w:t>
      </w:r>
    </w:p>
    <w:p>
      <w:pPr>
        <w:keepNext w:val="0"/>
        <w:keepLines w:val="0"/>
        <w:pageBreakBefore w:val="0"/>
        <w:widowControl w:val="0"/>
        <w:kinsoku/>
        <w:wordWrap/>
        <w:overflowPunct/>
        <w:topLinePunct w:val="0"/>
        <w:bidi w:val="0"/>
        <w:adjustRightInd w:val="0"/>
        <w:snapToGrid w:val="0"/>
        <w:spacing w:line="540" w:lineRule="exact"/>
        <w:ind w:firstLine="720"/>
        <w:textAlignment w:val="auto"/>
        <w:rPr>
          <w:rFonts w:ascii="Times New Roman" w:eastAsia="黑体" w:cs="Times New Roman" w:hAnsi="Times New Roman"/>
          <w:bCs w:val="0"/>
          <w:sz w:val="32"/>
          <w:szCs w:val="32"/>
          <w:lang w:val="zh-CN"/>
        </w:rPr>
      </w:pPr>
      <w:bookmarkStart w:id="209" w:name="_Toc336887024_WPSOffice_Level2"/>
      <w:bookmarkStart w:id="210" w:name="_Toc1869212615_WPSOffice_Level2"/>
      <w:bookmarkStart w:id="211" w:name="_Toc1924824513_WPSOffice_Level2"/>
      <w:bookmarkStart w:id="212" w:name="_Toc1717793639_WPSOffice_Level2"/>
      <w:r>
        <w:rPr>
          <w:rFonts w:ascii="Times New Roman" w:eastAsia="黑体" w:cs="Times New Roman" w:hAnsi="Times New Roman"/>
          <w:bCs w:val="0"/>
          <w:sz w:val="32"/>
          <w:szCs w:val="32"/>
          <w:lang w:val="zh-CN"/>
        </w:rPr>
        <w:t>二、项目资金申报及使用情况</w:t>
      </w:r>
      <w:bookmarkEnd w:id="209"/>
      <w:bookmarkEnd w:id="210"/>
      <w:bookmarkEnd w:id="211"/>
      <w:bookmarkEnd w:id="212"/>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（一）项目资金申报及批复情况。</w:t>
      </w:r>
    </w:p>
    <w:p>
      <w:pPr>
        <w:keepNext w:val="0"/>
        <w:keepLines w:val="0"/>
        <w:pageBreakBefore w:val="0"/>
        <w:widowControl w:val="0"/>
        <w:kinsoku/>
        <w:wordWrap/>
        <w:overflowPunct/>
        <w:topLinePunct w:val="0"/>
        <w:bidi w:val="0"/>
        <w:adjustRightInd w:val="0"/>
        <w:snapToGrid w:val="0"/>
        <w:spacing w:line="540" w:lineRule="exact"/>
        <w:ind w:firstLine="720"/>
        <w:textAlignment w:val="auto"/>
        <w:rPr>
          <w:rFonts w:ascii="仿宋_GB2312" w:eastAsia="仿宋_GB2312" w:cs="Times New Roman" w:hint="eastAsia"/>
          <w:bCs w:val="0"/>
          <w:kern w:val="2"/>
          <w:sz w:val="32"/>
          <w:szCs w:val="32"/>
          <w:lang w:val="en-US" w:eastAsia="zh-CN" w:bidi="ar-SA"/>
        </w:rPr>
      </w:pPr>
      <w:r>
        <w:rPr>
          <w:rFonts w:ascii="仿宋_GB2312" w:eastAsia="仿宋_GB2312" w:cs="Times New Roman" w:hint="eastAsia"/>
          <w:bCs w:val="0"/>
          <w:kern w:val="2"/>
          <w:sz w:val="32"/>
          <w:szCs w:val="32"/>
          <w:lang w:val="en-US" w:eastAsia="zh-CN" w:bidi="ar-SA"/>
        </w:rPr>
        <w:t>2025年度，财政部门下达攀财资预〔2025〕59号文件，追加参试人员体检经费10.04万元。</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w:t>
      </w:r>
    </w:p>
    <w:p>
      <w:pPr>
        <w:adjustRightInd w:val="0"/>
        <w:snapToGrid w:val="0"/>
        <w:spacing w:line="560" w:lineRule="exact"/>
        <w:ind w:firstLine="720"/>
        <w:rPr>
          <w:rFonts w:ascii="仿宋_GB2312" w:eastAsia="仿宋_GB2312" w:cs="Times New Roman" w:hint="eastAsia"/>
          <w:bCs w:val="0"/>
          <w:kern w:val="2"/>
          <w:sz w:val="32"/>
          <w:szCs w:val="32"/>
          <w:lang w:val="zh-CN" w:eastAsia="zh-CN" w:bidi="ar-SA"/>
        </w:rPr>
      </w:pPr>
      <w:r>
        <w:rPr>
          <w:rFonts w:ascii="仿宋_GB2312" w:eastAsia="仿宋_GB2312" w:cs="Times New Roman" w:hint="eastAsia"/>
          <w:bCs w:val="0"/>
          <w:kern w:val="2"/>
          <w:sz w:val="32"/>
          <w:szCs w:val="32"/>
          <w:lang w:val="zh-CN" w:eastAsia="zh-CN" w:bidi="ar-SA"/>
        </w:rPr>
        <w:t>1</w:t>
      </w:r>
      <w:r>
        <w:rPr>
          <w:rFonts w:ascii="仿宋_GB2312" w:eastAsia="仿宋_GB2312" w:cs="Times New Roman" w:hint="eastAsia"/>
          <w:bCs w:val="0"/>
          <w:kern w:val="2"/>
          <w:sz w:val="32"/>
          <w:szCs w:val="32"/>
          <w:lang w:val="en-US" w:eastAsia="zh-CN" w:bidi="ar-SA"/>
        </w:rPr>
        <w:t>.</w:t>
      </w:r>
      <w:r>
        <w:rPr>
          <w:rFonts w:ascii="仿宋_GB2312" w:eastAsia="仿宋_GB2312" w:cs="Times New Roman" w:hint="eastAsia"/>
          <w:bCs w:val="0"/>
          <w:kern w:val="2"/>
          <w:sz w:val="32"/>
          <w:szCs w:val="32"/>
          <w:lang w:val="zh-CN" w:eastAsia="zh-CN" w:bidi="ar-SA"/>
        </w:rPr>
        <w:t>资金计划。</w:t>
      </w:r>
      <w:r>
        <w:rPr>
          <w:rFonts w:ascii="仿宋_GB2312" w:eastAsia="仿宋_GB2312" w:cs="Times New Roman" w:hint="eastAsia"/>
          <w:bCs w:val="0"/>
          <w:kern w:val="2"/>
          <w:sz w:val="32"/>
          <w:szCs w:val="32"/>
          <w:lang w:val="en-US" w:eastAsia="zh-CN" w:bidi="ar-SA"/>
        </w:rPr>
        <w:t>参试人员体检经费10.04万元</w:t>
      </w:r>
      <w:r>
        <w:rPr>
          <w:rFonts w:ascii="仿宋_GB2312" w:eastAsia="仿宋_GB2312" w:cs="Times New Roman" w:hint="eastAsia"/>
          <w:bCs w:val="0"/>
          <w:kern w:val="2"/>
          <w:sz w:val="32"/>
          <w:szCs w:val="32"/>
          <w:lang w:val="zh-CN" w:eastAsia="zh-CN" w:bidi="ar-SA"/>
        </w:rPr>
        <w:t>。资金到位率</w:t>
      </w:r>
      <w:r>
        <w:rPr>
          <w:rFonts w:ascii="仿宋_GB2312" w:eastAsia="仿宋_GB2312" w:cs="Times New Roman" w:hint="eastAsia"/>
          <w:bCs w:val="0"/>
          <w:kern w:val="2"/>
          <w:sz w:val="32"/>
          <w:szCs w:val="32"/>
          <w:lang w:val="en-US" w:eastAsia="zh-CN" w:bidi="ar-SA"/>
        </w:rPr>
        <w:t>100%。</w:t>
      </w:r>
    </w:p>
    <w:p>
      <w:pPr>
        <w:adjustRightInd w:val="0"/>
        <w:snapToGrid w:val="0"/>
        <w:spacing w:line="560" w:lineRule="exact"/>
        <w:ind w:firstLine="720"/>
        <w:rPr>
          <w:rFonts w:ascii="仿宋_GB2312" w:eastAsia="仿宋_GB2312" w:cs="Times New Roman" w:hint="eastAsia"/>
          <w:bCs w:val="0"/>
          <w:kern w:val="2"/>
          <w:sz w:val="32"/>
          <w:szCs w:val="32"/>
          <w:lang w:val="en-US" w:eastAsia="zh-CN" w:bidi="ar-SA"/>
        </w:rPr>
      </w:pPr>
      <w:r>
        <w:rPr>
          <w:rFonts w:ascii="仿宋_GB2312" w:eastAsia="仿宋_GB2312" w:cs="Times New Roman" w:hint="eastAsia"/>
          <w:bCs w:val="0"/>
          <w:kern w:val="2"/>
          <w:sz w:val="32"/>
          <w:szCs w:val="32"/>
          <w:lang w:val="zh-CN" w:eastAsia="zh-CN" w:bidi="ar-SA"/>
        </w:rPr>
        <w:t>2</w:t>
      </w:r>
      <w:r>
        <w:rPr>
          <w:rFonts w:ascii="仿宋_GB2312" w:eastAsia="仿宋_GB2312" w:cs="Times New Roman" w:hint="eastAsia"/>
          <w:bCs w:val="0"/>
          <w:kern w:val="2"/>
          <w:sz w:val="32"/>
          <w:szCs w:val="32"/>
          <w:lang w:val="en-US" w:eastAsia="zh-CN" w:bidi="ar-SA"/>
        </w:rPr>
        <w:t>.</w:t>
      </w:r>
      <w:r>
        <w:rPr>
          <w:rFonts w:ascii="仿宋_GB2312" w:eastAsia="仿宋_GB2312" w:cs="Times New Roman" w:hint="eastAsia"/>
          <w:bCs w:val="0"/>
          <w:kern w:val="2"/>
          <w:sz w:val="32"/>
          <w:szCs w:val="32"/>
          <w:lang w:val="zh-CN" w:eastAsia="zh-CN" w:bidi="ar-SA"/>
        </w:rPr>
        <w:t>资金到位。市级安排资金</w:t>
      </w:r>
      <w:r>
        <w:rPr>
          <w:rFonts w:ascii="仿宋_GB2312" w:eastAsia="仿宋_GB2312" w:cs="Times New Roman" w:hint="eastAsia"/>
          <w:bCs w:val="0"/>
          <w:kern w:val="2"/>
          <w:sz w:val="32"/>
          <w:szCs w:val="32"/>
          <w:lang w:val="en-US" w:eastAsia="zh-CN" w:bidi="ar-SA"/>
        </w:rPr>
        <w:t>10.04万元，资金到位与计划资金完全一致。</w:t>
      </w:r>
    </w:p>
    <w:p>
      <w:pPr>
        <w:adjustRightInd w:val="0"/>
        <w:snapToGrid w:val="0"/>
        <w:spacing w:line="560" w:lineRule="exact"/>
        <w:ind w:firstLine="720"/>
        <w:rPr>
          <w:rFonts w:ascii="仿宋_GB2312" w:eastAsia="仿宋_GB2312" w:cs="Times New Roman" w:hint="eastAsia"/>
          <w:bCs w:val="0"/>
          <w:kern w:val="2"/>
          <w:sz w:val="32"/>
          <w:szCs w:val="32"/>
          <w:lang w:val="en-US" w:eastAsia="zh-CN" w:bidi="ar-SA"/>
        </w:rPr>
      </w:pPr>
      <w:r>
        <w:rPr>
          <w:rFonts w:ascii="仿宋_GB2312" w:eastAsia="仿宋_GB2312" w:cs="Times New Roman" w:hint="eastAsia"/>
          <w:bCs w:val="0"/>
          <w:kern w:val="2"/>
          <w:sz w:val="32"/>
          <w:szCs w:val="32"/>
          <w:lang w:val="zh-CN" w:eastAsia="zh-CN" w:bidi="ar-SA"/>
        </w:rPr>
        <w:t>3</w:t>
      </w:r>
      <w:r>
        <w:rPr>
          <w:rFonts w:ascii="仿宋_GB2312" w:eastAsia="仿宋_GB2312" w:cs="Times New Roman" w:hint="eastAsia"/>
          <w:bCs w:val="0"/>
          <w:kern w:val="2"/>
          <w:sz w:val="32"/>
          <w:szCs w:val="32"/>
          <w:lang w:val="en-US" w:eastAsia="zh-CN" w:bidi="ar-SA"/>
        </w:rPr>
        <w:t>.</w:t>
      </w:r>
      <w:r>
        <w:rPr>
          <w:rFonts w:ascii="仿宋_GB2312" w:eastAsia="仿宋_GB2312" w:cs="Times New Roman" w:hint="eastAsia"/>
          <w:bCs w:val="0"/>
          <w:kern w:val="2"/>
          <w:sz w:val="32"/>
          <w:szCs w:val="32"/>
          <w:lang w:val="zh-CN" w:eastAsia="zh-CN" w:bidi="ar-SA"/>
        </w:rPr>
        <w:t>资金使用。</w:t>
      </w:r>
      <w:r>
        <w:rPr>
          <w:rFonts w:ascii="仿宋_GB2312" w:eastAsia="仿宋_GB2312" w:cs="Times New Roman" w:hint="eastAsia"/>
          <w:bCs w:val="0"/>
          <w:kern w:val="2"/>
          <w:sz w:val="32"/>
          <w:szCs w:val="32"/>
          <w:lang w:val="en-US" w:eastAsia="zh-CN" w:bidi="ar-SA"/>
        </w:rPr>
        <w:t>参试涉核人员体检费支付范围、支付标准、支付进度、支付依据等合规合法、与预算相符，严格按照申报计划全额使用。</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（三）项目财务管理情况。</w:t>
      </w:r>
    </w:p>
    <w:p>
      <w:pPr>
        <w:adjustRightInd w:val="0"/>
        <w:snapToGrid w:val="0"/>
        <w:spacing w:line="560" w:lineRule="exact"/>
        <w:ind w:firstLine="720"/>
        <w:rPr>
          <w:rFonts w:ascii="仿宋_GB2312" w:eastAsia="仿宋_GB2312" w:cs="Times New Roman" w:hint="eastAsia"/>
          <w:bCs w:val="0"/>
          <w:kern w:val="2"/>
          <w:sz w:val="32"/>
          <w:szCs w:val="32"/>
          <w:lang w:val="zh-CN" w:eastAsia="zh-CN" w:bidi="ar-SA"/>
        </w:rPr>
      </w:pPr>
      <w:r>
        <w:rPr>
          <w:rFonts w:ascii="仿宋_GB2312" w:eastAsia="仿宋_GB2312" w:cs="Times New Roman" w:hint="eastAsia"/>
          <w:bCs w:val="0"/>
          <w:kern w:val="2"/>
          <w:sz w:val="32"/>
          <w:szCs w:val="32"/>
          <w:lang w:val="en-US" w:eastAsia="zh-CN" w:bidi="ar-SA"/>
        </w:rPr>
        <w:t>项目资金严格按照项目支出的范围、用途控制，坚持专款专用，不存在挤占挪用现象，资金支出合法、合理，会计核算符合相关规定。</w:t>
      </w:r>
    </w:p>
    <w:p>
      <w:pPr>
        <w:keepNext w:val="0"/>
        <w:keepLines w:val="0"/>
        <w:pageBreakBefore w:val="0"/>
        <w:widowControl w:val="0"/>
        <w:kinsoku/>
        <w:wordWrap/>
        <w:overflowPunct/>
        <w:topLinePunct w:val="0"/>
        <w:bidi w:val="0"/>
        <w:adjustRightInd w:val="0"/>
        <w:snapToGrid w:val="0"/>
        <w:spacing w:line="540" w:lineRule="exact"/>
        <w:ind w:firstLine="720"/>
        <w:textAlignment w:val="auto"/>
        <w:rPr>
          <w:rFonts w:ascii="Times New Roman" w:eastAsia="黑体" w:cs="Times New Roman" w:hAnsi="Times New Roman"/>
          <w:bCs w:val="0"/>
          <w:sz w:val="32"/>
          <w:szCs w:val="32"/>
          <w:lang w:val="zh-CN"/>
        </w:rPr>
      </w:pPr>
      <w:bookmarkStart w:id="213" w:name="_Toc1107251420_WPSOffice_Level2"/>
      <w:bookmarkStart w:id="214" w:name="_Toc918656311_WPSOffice_Level2"/>
      <w:bookmarkStart w:id="215" w:name="_Toc2039360334_WPSOffice_Level2"/>
      <w:bookmarkStart w:id="216" w:name="_Toc525090247_WPSOffice_Level2"/>
      <w:r>
        <w:rPr>
          <w:rFonts w:ascii="Times New Roman" w:eastAsia="黑体" w:cs="Times New Roman" w:hAnsi="Times New Roman"/>
          <w:bCs w:val="0"/>
          <w:sz w:val="32"/>
          <w:szCs w:val="32"/>
          <w:lang w:val="zh-CN"/>
        </w:rPr>
        <w:t>三、项目实施及管理情况</w:t>
      </w:r>
      <w:bookmarkEnd w:id="213"/>
      <w:bookmarkEnd w:id="214"/>
      <w:bookmarkEnd w:id="215"/>
      <w:bookmarkEnd w:id="216"/>
    </w:p>
    <w:p>
      <w:pPr>
        <w:adjustRightInd w:val="0"/>
        <w:snapToGrid w:val="0"/>
        <w:spacing w:line="560" w:lineRule="exact"/>
        <w:ind w:firstLine="720"/>
        <w:rPr>
          <w:rFonts w:ascii="仿宋_GB2312" w:eastAsia="仿宋_GB2312" w:cs="Times New Roman" w:hint="eastAsia"/>
          <w:bCs w:val="0"/>
          <w:kern w:val="2"/>
          <w:sz w:val="32"/>
          <w:szCs w:val="32"/>
          <w:lang w:val="zh-CN" w:eastAsia="zh-CN" w:bidi="ar-SA"/>
        </w:rPr>
      </w:pPr>
      <w:r>
        <w:rPr>
          <w:rFonts w:ascii="Times New Roman" w:eastAsia="楷体_GB2312" w:cs="Times New Roman" w:hAnsi="Times New Roman" w:hint="eastAsia"/>
          <w:b/>
          <w:bCs w:val="0"/>
          <w:sz w:val="32"/>
          <w:szCs w:val="32"/>
          <w:lang w:val="zh-CN" w:eastAsia="zh-CN"/>
        </w:rPr>
        <w:t>（一）项目组织架构及实施流程。</w:t>
      </w:r>
      <w:r>
        <w:rPr>
          <w:rFonts w:ascii="仿宋_GB2312" w:eastAsia="仿宋_GB2312" w:cs="Times New Roman" w:hint="eastAsia"/>
          <w:bCs w:val="0"/>
          <w:kern w:val="2"/>
          <w:sz w:val="32"/>
          <w:szCs w:val="32"/>
          <w:lang w:val="en-US" w:eastAsia="zh-CN" w:bidi="ar-SA"/>
        </w:rPr>
        <w:t>参试人员体检经费实行</w:t>
      </w:r>
      <w:r>
        <w:rPr>
          <w:rFonts w:ascii="仿宋_GB2312" w:eastAsia="仿宋_GB2312" w:cs="Times New Roman" w:hint="eastAsia"/>
          <w:bCs w:val="0"/>
          <w:kern w:val="2"/>
          <w:sz w:val="32"/>
          <w:szCs w:val="32"/>
          <w:lang w:val="zh-CN" w:eastAsia="zh-CN" w:bidi="ar-SA"/>
        </w:rPr>
        <w:t>“分管领导负责、科室推进、财务全程监督”的运行机制。分管领导负责统筹方向，协调解决实施过程中的重大事项；优抚与褒扬纪念科严格按照计划细化分工，压实工作责任，保障项目按节点有序推进；财务人员全流程参与，严格履行预算编制与资金拨付审批职责，加强资金流向全周期监管。整个流程权责清晰、运转顺畅，各环节密切配合，有力保障了项目平稳落地。</w:t>
      </w:r>
    </w:p>
    <w:p>
      <w:pPr>
        <w:adjustRightInd w:val="0"/>
        <w:snapToGrid w:val="0"/>
        <w:spacing w:line="600" w:lineRule="exact"/>
        <w:ind w:firstLine="720"/>
        <w:rPr>
          <w:rFonts w:ascii="仿宋_GB2312" w:eastAsia="仿宋_GB2312" w:cs="Times New Roman" w:hint="eastAsia"/>
          <w:bCs w:val="0"/>
          <w:kern w:val="2"/>
          <w:sz w:val="32"/>
          <w:szCs w:val="32"/>
          <w:lang w:val="zh-CN" w:eastAsia="zh-CN" w:bidi="ar-SA"/>
        </w:rPr>
      </w:pPr>
      <w:r>
        <w:rPr>
          <w:rFonts w:ascii="Times New Roman" w:eastAsia="楷体_GB2312" w:cs="Times New Roman" w:hAnsi="Times New Roman" w:hint="eastAsia"/>
          <w:b/>
          <w:bCs w:val="0"/>
          <w:sz w:val="32"/>
          <w:szCs w:val="32"/>
          <w:lang w:val="zh-CN" w:eastAsia="zh-CN"/>
        </w:rPr>
        <w:t>（二）项目管理情况。</w:t>
      </w:r>
      <w:r>
        <w:rPr>
          <w:rFonts w:ascii="仿宋_GB2312" w:eastAsia="仿宋_GB2312" w:cs="Times New Roman" w:hint="eastAsia"/>
          <w:bCs w:val="0"/>
          <w:kern w:val="2"/>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adjustRightInd w:val="0"/>
        <w:snapToGrid w:val="0"/>
        <w:spacing w:line="600" w:lineRule="exact"/>
        <w:ind w:left="0" w:firstLineChars="200" w:firstLine="640"/>
        <w:jc w:val="both"/>
        <w:rPr>
          <w:rFonts w:ascii="仿宋_GB2312" w:eastAsia="仿宋_GB2312" w:cs="Times New Roman" w:hint="eastAsia"/>
          <w:bCs w:val="0"/>
          <w:kern w:val="2"/>
          <w:sz w:val="32"/>
          <w:szCs w:val="32"/>
          <w:lang w:val="zh-CN" w:eastAsia="zh-CN" w:bidi="ar-SA"/>
        </w:rPr>
      </w:pPr>
      <w:r>
        <w:rPr>
          <w:rFonts w:ascii="Times New Roman" w:eastAsia="楷体_GB2312" w:cs="Times New Roman" w:hAnsi="Times New Roman" w:hint="eastAsia"/>
          <w:b/>
          <w:bCs w:val="0"/>
          <w:sz w:val="32"/>
          <w:szCs w:val="32"/>
          <w:lang w:val="zh-CN" w:eastAsia="zh-CN"/>
        </w:rPr>
        <w:t>（三）项目监管情况。</w:t>
      </w:r>
      <w:r>
        <w:rPr>
          <w:rFonts w:ascii="仿宋_GB2312" w:eastAsia="仿宋_GB2312" w:cs="Times New Roman" w:hint="eastAsia"/>
          <w:bCs w:val="0"/>
          <w:kern w:val="2"/>
          <w:sz w:val="32"/>
          <w:szCs w:val="32"/>
          <w:lang w:val="zh-CN" w:eastAsia="zh-CN" w:bidi="ar-SA"/>
        </w:rPr>
        <w:t>严格按照政策规定和资金管理要求实施全过程监管，建立健全审核、复核、监督机制。在对涉核人员、资金核算、支付流程等关键环节层层把关、从严审核，确保资金执行到位、程序合法合规。资金使用过程中，坚持每月开展绩效监控，强化动态跟踪与风险防控，确保资金专款专用、安全规范。同时，加强信息公开，定期公示项目进展和资金使用情况，接受社会监督。</w:t>
      </w:r>
    </w:p>
    <w:p>
      <w:pPr>
        <w:keepNext w:val="0"/>
        <w:keepLines w:val="0"/>
        <w:pageBreakBefore w:val="0"/>
        <w:widowControl w:val="0"/>
        <w:tabs>
          <w:tab w:val="left" w:pos="6400"/>
        </w:tabs>
        <w:kinsoku/>
        <w:wordWrap/>
        <w:overflowPunct/>
        <w:topLinePunct w:val="0"/>
        <w:bidi w:val="0"/>
        <w:adjustRightInd w:val="0"/>
        <w:snapToGrid w:val="0"/>
        <w:spacing w:line="540" w:lineRule="exact"/>
        <w:ind w:firstLine="720"/>
        <w:textAlignment w:val="auto"/>
        <w:rPr>
          <w:lang w:val="zh-CN"/>
        </w:rPr>
      </w:pPr>
      <w:bookmarkStart w:id="217" w:name="_Toc1982699134_WPSOffice_Level2"/>
      <w:bookmarkStart w:id="218" w:name="_Toc564255576_WPSOffice_Level2"/>
      <w:bookmarkStart w:id="219" w:name="_Toc1959331910_WPSOffice_Level2"/>
      <w:bookmarkStart w:id="220" w:name="_Toc1332497837_WPSOffice_Level2"/>
      <w:r>
        <w:rPr>
          <w:rFonts w:ascii="Times New Roman" w:eastAsia="黑体" w:cs="Times New Roman" w:hAnsi="Times New Roman"/>
          <w:bCs w:val="0"/>
          <w:sz w:val="32"/>
          <w:szCs w:val="32"/>
          <w:lang w:val="zh-CN"/>
        </w:rPr>
        <w:t>四、项目绩效情况</w:t>
      </w:r>
      <w:bookmarkEnd w:id="217"/>
      <w:bookmarkEnd w:id="218"/>
      <w:bookmarkEnd w:id="219"/>
      <w:bookmarkEnd w:id="220"/>
      <w:r>
        <w:rPr>
          <w:lang w:val="zh-CN"/>
        </w:rPr>
        <w:tab/>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（一）项目完成情况。</w:t>
      </w:r>
    </w:p>
    <w:p>
      <w:pPr>
        <w:adjustRightInd w:val="0"/>
        <w:snapToGrid w:val="0"/>
        <w:spacing w:line="600" w:lineRule="exact"/>
        <w:ind w:left="0" w:firstLineChars="200" w:firstLine="640"/>
        <w:jc w:val="both"/>
        <w:rPr>
          <w:rFonts w:ascii="仿宋_GB2312" w:eastAsia="仿宋_GB2312" w:cs="Times New Roman"/>
          <w:bCs w:val="0"/>
          <w:kern w:val="2"/>
          <w:sz w:val="32"/>
          <w:szCs w:val="32"/>
          <w:lang w:val="en-US" w:eastAsia="zh-CN" w:bidi="ar-SA"/>
        </w:rPr>
      </w:pPr>
      <w:r>
        <w:rPr>
          <w:rFonts w:ascii="仿宋_GB2312" w:eastAsia="仿宋_GB2312" w:cs="Times New Roman" w:hint="eastAsia"/>
          <w:bCs w:val="0"/>
          <w:kern w:val="2"/>
          <w:sz w:val="32"/>
          <w:szCs w:val="32"/>
          <w:lang w:val="en-US" w:eastAsia="zh-CN" w:bidi="ar-SA"/>
        </w:rPr>
        <w:t>2024年将纳入定补的200余名“参试人员”，按不高于500元/人标准，在市中心医院进行体检，支付经费共计10.04万元。</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（二）项目效益情况。</w:t>
      </w:r>
    </w:p>
    <w:p>
      <w:pPr>
        <w:adjustRightInd w:val="0"/>
        <w:snapToGrid w:val="0"/>
        <w:spacing w:line="600" w:lineRule="exact"/>
        <w:ind w:left="0" w:firstLineChars="200" w:firstLine="640"/>
        <w:jc w:val="both"/>
        <w:rPr>
          <w:rFonts w:ascii="仿宋_GB2312" w:eastAsia="仿宋_GB2312" w:cs="Times New Roman"/>
          <w:bCs w:val="0"/>
          <w:kern w:val="2"/>
          <w:sz w:val="32"/>
          <w:szCs w:val="32"/>
          <w:lang w:val="en-US" w:eastAsia="zh-CN" w:bidi="ar-SA"/>
        </w:rPr>
      </w:pPr>
      <w:r>
        <w:rPr>
          <w:rFonts w:ascii="仿宋_GB2312" w:eastAsia="仿宋_GB2312" w:cs="Times New Roman" w:hint="eastAsia"/>
          <w:bCs w:val="0"/>
          <w:kern w:val="2"/>
          <w:sz w:val="32"/>
          <w:szCs w:val="32"/>
          <w:lang w:val="en-US" w:eastAsia="zh-CN" w:bidi="ar-SA"/>
        </w:rPr>
        <w:t>通过对全市享受定期生活补助的参试涉核人员进行免费常规身体检查，保障了他们的合法权益，促进了社会稳定，参加体检人员满意度达到90%以上</w:t>
      </w:r>
      <w:r>
        <w:rPr>
          <w:rFonts w:ascii="仿宋_GB2312" w:eastAsia="仿宋_GB2312" w:cs="Times New Roman"/>
          <w:bCs w:val="0"/>
          <w:kern w:val="2"/>
          <w:sz w:val="32"/>
          <w:szCs w:val="32"/>
          <w:lang w:val="en-US" w:eastAsia="zh-CN" w:bidi="ar-SA"/>
        </w:rPr>
        <w:t>。</w:t>
      </w:r>
    </w:p>
    <w:p>
      <w:pPr>
        <w:keepNext w:val="0"/>
        <w:keepLines w:val="0"/>
        <w:pageBreakBefore w:val="0"/>
        <w:widowControl w:val="0"/>
        <w:numPr>
          <w:ilvl w:val="0"/>
          <w:numId w:val="1"/>
        </w:numPr>
        <w:kinsoku/>
        <w:wordWrap/>
        <w:overflowPunct/>
        <w:topLinePunct w:val="0"/>
        <w:bidi w:val="0"/>
        <w:adjustRightInd w:val="0"/>
        <w:snapToGrid w:val="0"/>
        <w:spacing w:line="540" w:lineRule="exact"/>
        <w:ind w:left="0" w:firstLineChars="200" w:firstLine="640"/>
        <w:textAlignment w:val="auto"/>
        <w:rPr>
          <w:rFonts w:ascii="Times New Roman" w:eastAsia="黑体" w:cs="Times New Roman" w:hAnsi="Times New Roman"/>
          <w:bCs w:val="0"/>
          <w:sz w:val="32"/>
          <w:szCs w:val="32"/>
          <w:lang w:val="zh-CN"/>
        </w:rPr>
      </w:pPr>
      <w:bookmarkStart w:id="221" w:name="_Toc906665699_WPSOffice_Level2"/>
      <w:bookmarkStart w:id="222" w:name="_Toc1796566819_WPSOffice_Level2"/>
      <w:bookmarkStart w:id="223" w:name="_Toc2075326535_WPSOffice_Level2"/>
      <w:bookmarkStart w:id="224" w:name="_Toc1736840563_WPSOffice_Level2"/>
      <w:r>
        <w:rPr>
          <w:rFonts w:ascii="Times New Roman" w:eastAsia="黑体" w:cs="Times New Roman" w:hAnsi="Times New Roman"/>
          <w:bCs w:val="0"/>
          <w:sz w:val="32"/>
          <w:szCs w:val="32"/>
          <w:lang w:val="zh-CN"/>
        </w:rPr>
        <w:t>评价结论及建议</w:t>
      </w:r>
      <w:bookmarkEnd w:id="221"/>
      <w:bookmarkEnd w:id="222"/>
      <w:bookmarkEnd w:id="223"/>
      <w:bookmarkEnd w:id="224"/>
    </w:p>
    <w:p>
      <w:pPr>
        <w:adjustRightInd w:val="0"/>
        <w:snapToGrid w:val="0"/>
        <w:spacing w:line="600" w:lineRule="exact"/>
        <w:ind w:left="0" w:firstLineChars="200" w:firstLine="640"/>
        <w:jc w:val="both"/>
        <w:rPr>
          <w:rFonts w:ascii="仿宋_GB2312" w:eastAsia="仿宋_GB2312" w:cs="Times New Roman"/>
          <w:bCs w:val="0"/>
          <w:kern w:val="2"/>
          <w:sz w:val="32"/>
          <w:szCs w:val="32"/>
          <w:lang w:val="en-US" w:eastAsia="zh-CN" w:bidi="ar-SA"/>
        </w:rPr>
      </w:pPr>
      <w:r>
        <w:rPr>
          <w:rFonts w:ascii="仿宋_GB2312" w:eastAsia="仿宋_GB2312" w:cs="Times New Roman" w:hint="eastAsia"/>
          <w:bCs w:val="0"/>
          <w:kern w:val="2"/>
          <w:sz w:val="32"/>
          <w:szCs w:val="32"/>
          <w:lang w:val="en-US" w:eastAsia="zh-CN" w:bidi="ar-SA"/>
        </w:rPr>
        <w:t>体检工作组织有序，完成率高，覆盖了符合条件的退役军人，保障了他们的健康权益。通过体检，及时发现并干预健康问题，提升了退役军人的生活质量，社会效益显著。总体而言，项目实施效果良好，达到了预期目标，自评得分89分。</w:t>
      </w:r>
    </w:p>
    <w:p>
      <w:pPr>
        <w:adjustRightInd w:val="0"/>
        <w:snapToGrid w:val="0"/>
        <w:spacing w:line="560" w:lineRule="exact"/>
        <w:ind w:firstLine="720"/>
        <w:rPr>
          <w:rFonts w:ascii="仿宋_GB2312" w:eastAsia="仿宋_GB2312" w:cs="Times New Roman" w:hint="eastAsia"/>
          <w:bCs w:val="0"/>
          <w:kern w:val="2"/>
          <w:sz w:val="32"/>
          <w:szCs w:val="32"/>
          <w:lang w:bidi="ar-SA"/>
        </w:rPr>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
      <w:pPr>
        <w:pStyle w:val="16"/>
      </w:pPr>
    </w:p>
    <w:p>
      <w:pPr>
        <w:pStyle w:val="38"/>
        <w:tabs>
          <w:tab w:val="left" w:pos="6400"/>
        </w:tabs>
        <w:spacing w:line="600" w:lineRule="exact"/>
        <w:jc w:val="center"/>
        <w:rPr>
          <w:rFonts w:ascii="Times New Roman" w:eastAsia="方正小标宋简体" w:hAnsi="Times New Roman"/>
          <w:color w:val="auto"/>
          <w:kern w:val="2"/>
          <w:sz w:val="40"/>
          <w:szCs w:val="40"/>
        </w:rPr>
      </w:pPr>
      <w:bookmarkStart w:id="225" w:name="_Toc1079668278_WPSOffice_Level2"/>
      <w:bookmarkStart w:id="226" w:name="_Toc2114385049_WPSOffice_Level2"/>
      <w:bookmarkStart w:id="227" w:name="_Toc1281311913_WPSOffice_Level2"/>
      <w:bookmarkStart w:id="228" w:name="_Toc756830764_WPSOffice_Level2"/>
      <w:r>
        <w:rPr>
          <w:rFonts w:ascii="Times New Roman" w:eastAsia="方正小标宋简体" w:hAnsi="Times New Roman"/>
          <w:color w:val="auto"/>
          <w:kern w:val="2"/>
          <w:sz w:val="40"/>
          <w:szCs w:val="40"/>
        </w:rPr>
        <w:t>专项预算项目支出绩效自评报告</w:t>
      </w:r>
      <w:bookmarkEnd w:id="225"/>
      <w:bookmarkEnd w:id="226"/>
      <w:bookmarkEnd w:id="227"/>
      <w:bookmarkEnd w:id="228"/>
    </w:p>
    <w:p>
      <w:pPr>
        <w:tabs>
          <w:tab w:val="left" w:pos="6400"/>
        </w:tabs>
        <w:autoSpaceDE w:val="0"/>
        <w:autoSpaceDN w:val="0"/>
        <w:adjustRightInd w:val="0"/>
        <w:spacing w:line="600" w:lineRule="exact"/>
        <w:jc w:val="center"/>
        <w:rPr>
          <w:rFonts w:ascii="Times New Roman" w:eastAsia="仿宋_GB2312" w:hAnsi="Times New Roman" w:hint="eastAsia"/>
          <w:kern w:val="0"/>
          <w:sz w:val="24"/>
          <w:szCs w:val="24"/>
          <w:lang w:val="en-US" w:eastAsia="zh-CN"/>
        </w:rPr>
      </w:pPr>
      <w:r>
        <w:rPr>
          <w:rFonts w:ascii="Times New Roman" w:eastAsia="仿宋_GB2312" w:hAnsi="Times New Roman" w:hint="eastAsia"/>
          <w:kern w:val="0"/>
          <w:sz w:val="24"/>
          <w:szCs w:val="24"/>
          <w:lang w:val="en-US" w:eastAsia="zh-CN"/>
        </w:rPr>
        <w:t>（向上争取资金工作经费）</w:t>
      </w:r>
    </w:p>
    <w:p>
      <w:pPr>
        <w:pStyle w:val="38"/>
        <w:tabs>
          <w:tab w:val="left" w:pos="6400"/>
        </w:tabs>
        <w:spacing w:line="600" w:lineRule="exact"/>
        <w:ind w:firstLine="640"/>
        <w:jc w:val="center"/>
        <w:rPr>
          <w:rFonts w:ascii="Times New Roman" w:hAnsi="Times New Roman"/>
          <w:color w:val="auto"/>
          <w:kern w:val="2"/>
          <w:sz w:val="32"/>
          <w:szCs w:val="32"/>
        </w:rPr>
      </w:pPr>
    </w:p>
    <w:p>
      <w:pPr>
        <w:tabs>
          <w:tab w:val="left" w:pos="6400"/>
        </w:tabs>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29" w:name="_Toc1953898602_WPSOffice_Level2"/>
      <w:bookmarkStart w:id="230" w:name="_Toc851821515_WPSOffice_Level2"/>
      <w:bookmarkStart w:id="231" w:name="_Toc1479641463_WPSOffice_Level2"/>
      <w:bookmarkStart w:id="232" w:name="_Toc2053890918_WPSOffice_Level2"/>
      <w:r>
        <w:rPr>
          <w:rFonts w:ascii="Times New Roman" w:eastAsia="黑体" w:cs="Times New Roman" w:hAnsi="Times New Roman" w:hint="eastAsia"/>
          <w:bCs w:val="0"/>
          <w:sz w:val="32"/>
          <w:szCs w:val="32"/>
          <w:lang w:val="zh-CN" w:eastAsia="zh-CN"/>
        </w:rPr>
        <w:t>一、项目概况</w:t>
      </w:r>
      <w:bookmarkEnd w:id="229"/>
      <w:bookmarkEnd w:id="230"/>
      <w:bookmarkEnd w:id="231"/>
      <w:bookmarkEnd w:id="232"/>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仿宋_GB2312" w:hint="eastAsia"/>
          <w:kern w:val="0"/>
          <w:sz w:val="32"/>
          <w:szCs w:val="32"/>
          <w:lang w:val="en-US" w:eastAsia="zh-CN" w:bidi="ar-SA"/>
        </w:rPr>
        <w:t>向上争取资金工作经费主要用于加强与上级退役军人事务厅等有关部门日常衔接协调工作，抓好项目对接、资金对接、政策对接，积极向上争资金、争项目、争政策。</w:t>
      </w:r>
    </w:p>
    <w:p>
      <w:pPr>
        <w:tabs>
          <w:tab w:val="left" w:pos="6400"/>
        </w:tabs>
        <w:autoSpaceDE w:val="0"/>
        <w:autoSpaceDN w:val="0"/>
        <w:adjustRightInd w:val="0"/>
        <w:spacing w:line="600" w:lineRule="exact"/>
        <w:ind w:firstLineChars="200" w:firstLine="640"/>
        <w:jc w:val="left"/>
        <w:rPr>
          <w:rFonts w:ascii="仿宋_GB2312" w:eastAsia="仿宋_GB2312" w:cs="仿宋_GB2312"/>
          <w:kern w:val="0"/>
          <w:sz w:val="32"/>
          <w:szCs w:val="32"/>
          <w:lang w:val="en-US" w:eastAsia="zh-CN" w:bidi="ar-SA"/>
        </w:rPr>
      </w:pPr>
      <w:r>
        <w:rPr>
          <w:rFonts w:ascii="Times New Roman" w:eastAsia="楷体_GB2312" w:cs="Times New Roman" w:hAnsi="Times New Roman" w:hint="eastAsia"/>
          <w:b/>
          <w:bCs w:val="0"/>
          <w:sz w:val="32"/>
          <w:szCs w:val="32"/>
          <w:lang w:val="zh-CN" w:eastAsia="zh-CN"/>
        </w:rPr>
        <w:t>（二）项目绩效目标。</w:t>
      </w:r>
      <w:r>
        <w:rPr>
          <w:rFonts w:ascii="Times New Roman" w:eastAsia="楷体_GB2312" w:cs="Times New Roman" w:hAnsi="Times New Roman" w:hint="eastAsia"/>
          <w:b/>
          <w:bCs w:val="0"/>
          <w:sz w:val="32"/>
          <w:szCs w:val="32"/>
          <w:lang w:val="en-US" w:eastAsia="zh-CN"/>
        </w:rPr>
        <w:t xml:space="preserve"> </w:t>
      </w:r>
      <w:r>
        <w:rPr>
          <w:rFonts w:ascii="仿宋_GB2312" w:eastAsia="仿宋_GB2312" w:cs="仿宋_GB2312" w:hint="eastAsia"/>
          <w:kern w:val="0"/>
          <w:sz w:val="32"/>
          <w:szCs w:val="32"/>
          <w:lang w:val="en-US" w:eastAsia="zh-CN" w:bidi="ar-SA"/>
        </w:rPr>
        <w:t>加强与上级退役军人事务厅等有关部门日常衔接协调工作，积极争取上级部门对本系统各类专项资金支持。</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（三）项目自评步骤及方法。</w:t>
      </w:r>
      <w:r>
        <w:rPr>
          <w:rFonts w:ascii="仿宋_GB2312" w:eastAsia="仿宋_GB2312" w:cs="仿宋_GB2312" w:hint="eastAsia"/>
          <w:kern w:val="0"/>
          <w:sz w:val="32"/>
          <w:szCs w:val="32"/>
          <w:lang w:val="zh-CN" w:eastAsia="zh-CN" w:bidi="ar-SA"/>
        </w:rPr>
        <w:t>本次项目自评严格按照政策要求，坚持客观公正、实事求是原则。以项目实施方案、绩效目标、资金管理办法为依据，全面梳理预算文件、台账资料、财务凭证等基础材料，对照绩效指标逐项核验完成情况，坚持定量与定性相结合的评估方法，客观评估项目产出、效益及目标实现度。通过全面总结成效，深查细摆问题，剖析深层原因，提出切实可行的整改措施，整个过程公开透明、客观公正，严格遵守财政资金管理规定，绩效评价结果真实准确。</w:t>
      </w:r>
    </w:p>
    <w:p>
      <w:pPr>
        <w:tabs>
          <w:tab w:val="left" w:pos="6400"/>
        </w:tabs>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33" w:name="_Toc2129993965_WPSOffice_Level2"/>
      <w:bookmarkStart w:id="234" w:name="_Toc205965192_WPSOffice_Level2"/>
      <w:bookmarkStart w:id="235" w:name="_Toc155044240_WPSOffice_Level2"/>
      <w:bookmarkStart w:id="236" w:name="_Toc1331165514_WPSOffice_Level2"/>
      <w:r>
        <w:rPr>
          <w:rFonts w:ascii="Times New Roman" w:eastAsia="黑体" w:cs="Times New Roman" w:hAnsi="Times New Roman" w:hint="eastAsia"/>
          <w:bCs w:val="0"/>
          <w:sz w:val="32"/>
          <w:szCs w:val="32"/>
          <w:lang w:val="zh-CN" w:eastAsia="zh-CN"/>
        </w:rPr>
        <w:t>二、项目资金申报及使用情况</w:t>
      </w:r>
      <w:bookmarkEnd w:id="233"/>
      <w:bookmarkEnd w:id="234"/>
      <w:bookmarkEnd w:id="235"/>
      <w:bookmarkEnd w:id="236"/>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（一）项目资金申报及批复情况。</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2025年度财政部门下达攀财资预〔2025〕12号文件，追加向上争取资金工作经费2.11万元。</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（二）资金计划、到位及使用情况（可用表格形式反映）。</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1</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资金计划。</w:t>
      </w:r>
      <w:r>
        <w:rPr>
          <w:rFonts w:ascii="仿宋_GB2312" w:eastAsia="仿宋_GB2312" w:cs="仿宋_GB2312" w:hint="eastAsia"/>
          <w:kern w:val="0"/>
          <w:sz w:val="32"/>
          <w:szCs w:val="32"/>
          <w:lang w:val="en-US" w:eastAsia="zh-CN" w:bidi="ar-SA"/>
        </w:rPr>
        <w:t>向上争取资金工作经费预算资金2.11万元</w:t>
      </w:r>
      <w:r>
        <w:rPr>
          <w:rFonts w:ascii="仿宋_GB2312" w:eastAsia="仿宋_GB2312" w:cs="仿宋_GB2312" w:hint="eastAsia"/>
          <w:kern w:val="0"/>
          <w:sz w:val="32"/>
          <w:szCs w:val="32"/>
          <w:lang w:val="zh-CN" w:eastAsia="zh-CN" w:bidi="ar-SA"/>
        </w:rPr>
        <w:t>。资金到位率</w:t>
      </w:r>
      <w:r>
        <w:rPr>
          <w:rFonts w:ascii="仿宋_GB2312" w:eastAsia="仿宋_GB2312" w:cs="仿宋_GB2312" w:hint="eastAsia"/>
          <w:kern w:val="0"/>
          <w:sz w:val="32"/>
          <w:szCs w:val="32"/>
          <w:lang w:val="en-US" w:eastAsia="zh-CN" w:bidi="ar-SA"/>
        </w:rPr>
        <w:t>100%。</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资金到位。市级安排资金</w:t>
      </w:r>
      <w:r>
        <w:rPr>
          <w:rFonts w:ascii="仿宋_GB2312" w:eastAsia="仿宋_GB2312" w:cs="仿宋_GB2312" w:hint="eastAsia"/>
          <w:kern w:val="0"/>
          <w:sz w:val="32"/>
          <w:szCs w:val="32"/>
          <w:lang w:val="en-US" w:eastAsia="zh-CN" w:bidi="ar-SA"/>
        </w:rPr>
        <w:t>2.11万元，资金到位与计划资金完全一致。</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zh-CN" w:eastAsia="zh-CN" w:bidi="ar-SA"/>
        </w:rPr>
        <w:t>3</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资金使用。</w:t>
      </w:r>
      <w:r>
        <w:rPr>
          <w:rFonts w:ascii="仿宋_GB2312" w:eastAsia="仿宋_GB2312" w:cs="仿宋_GB2312" w:hint="eastAsia"/>
          <w:kern w:val="0"/>
          <w:sz w:val="32"/>
          <w:szCs w:val="32"/>
          <w:lang w:val="en-US" w:eastAsia="zh-CN" w:bidi="ar-SA"/>
        </w:rPr>
        <w:t>向上争取资金支付范围、支付标准、支付进度、支付依据等合规合法、与预算相符，严格按照申报计划全额使用。</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（三）项目财务管理情况。</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en-US" w:eastAsia="zh-CN" w:bidi="ar-SA"/>
        </w:rPr>
        <w:t>项目资金严格按照项目支出的范围、用途控制，坚持专款专用，不存在挤占挪用现象，资金支出合法、合理，会计核算符合相关规定。</w:t>
      </w:r>
    </w:p>
    <w:p>
      <w:pPr>
        <w:tabs>
          <w:tab w:val="left" w:pos="6400"/>
        </w:tabs>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37" w:name="_Toc267832974_WPSOffice_Level2"/>
      <w:bookmarkStart w:id="238" w:name="_Toc619136384_WPSOffice_Level2"/>
      <w:bookmarkStart w:id="239" w:name="_Toc752090883_WPSOffice_Level2"/>
      <w:bookmarkStart w:id="240" w:name="_Toc813080685_WPSOffice_Level2"/>
      <w:r>
        <w:rPr>
          <w:rFonts w:ascii="Times New Roman" w:eastAsia="黑体" w:cs="Times New Roman" w:hAnsi="Times New Roman" w:hint="eastAsia"/>
          <w:bCs w:val="0"/>
          <w:sz w:val="32"/>
          <w:szCs w:val="32"/>
          <w:lang w:val="zh-CN" w:eastAsia="zh-CN"/>
        </w:rPr>
        <w:t>三、项目实施及管理情况</w:t>
      </w:r>
      <w:bookmarkEnd w:id="237"/>
      <w:bookmarkEnd w:id="238"/>
      <w:bookmarkEnd w:id="239"/>
      <w:bookmarkEnd w:id="240"/>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（一）项目组织架构及实施流程。</w:t>
      </w:r>
      <w:r>
        <w:rPr>
          <w:rFonts w:ascii="仿宋_GB2312" w:eastAsia="仿宋_GB2312" w:cs="仿宋_GB2312" w:hint="eastAsia"/>
          <w:kern w:val="0"/>
          <w:sz w:val="32"/>
          <w:szCs w:val="32"/>
          <w:lang w:val="en-US" w:eastAsia="zh-CN" w:bidi="ar-SA"/>
        </w:rPr>
        <w:t>向上争取资金工作经费实行</w:t>
      </w:r>
      <w:r>
        <w:rPr>
          <w:rFonts w:ascii="仿宋_GB2312" w:eastAsia="仿宋_GB2312" w:cs="仿宋_GB2312" w:hint="eastAsia"/>
          <w:kern w:val="0"/>
          <w:sz w:val="32"/>
          <w:szCs w:val="32"/>
          <w:lang w:val="zh-CN" w:eastAsia="zh-CN" w:bidi="ar-SA"/>
        </w:rPr>
        <w:t>“分管领导负责、业务科室推进、财务全程监督”的运行机制。分管领导负责统筹方向，协调解决实施过程中的重大事项；办公室严格按照计划细化分工，压实工作责任，保障项目按节点有序推进；财务人员全流程参与，严格履行预算编制与资金拨付审批职责，加强资金流向全周期监管。整个流程权责清晰、运转顺畅，各环节密切配合，有力保障了项目平稳落地。</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（二）项目管理情况。</w:t>
      </w:r>
      <w:r>
        <w:rPr>
          <w:rFonts w:ascii="仿宋_GB2312" w:eastAsia="仿宋_GB2312" w:cs="仿宋_GB2312" w:hint="eastAsia"/>
          <w:kern w:val="0"/>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（三）项目监管情况。</w:t>
      </w:r>
      <w:r>
        <w:rPr>
          <w:rFonts w:ascii="仿宋_GB2312" w:eastAsia="仿宋_GB2312" w:cs="仿宋_GB2312" w:hint="eastAsia"/>
          <w:kern w:val="0"/>
          <w:sz w:val="32"/>
          <w:szCs w:val="32"/>
          <w:lang w:val="zh-CN" w:eastAsia="zh-CN" w:bidi="ar-SA"/>
        </w:rPr>
        <w:t>严格按照政策规定和资金管理要求实施全过程监管，建立健全审核、复核、监督机制。在对资金核算、支付流程等关键环节层层把关、从严审核，确保资金执行到位、程序合法合规。资金使用过程中，坚持每月开展绩效监控，强化动态跟踪与风险防控，确保资金专款专用、安全规范。同时，加强信息公开，定期公示项目进展和资金使用情况，接受社会监督。</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bookmarkStart w:id="241" w:name="_Toc2065042912_WPSOffice_Level2"/>
      <w:bookmarkStart w:id="242" w:name="_Toc822416783_WPSOffice_Level2"/>
      <w:bookmarkStart w:id="243" w:name="_Toc436215713_WPSOffice_Level2"/>
      <w:bookmarkStart w:id="244" w:name="_Toc1047478249_WPSOffice_Level2"/>
      <w:r>
        <w:rPr>
          <w:rFonts w:ascii="Times New Roman" w:eastAsia="黑体" w:cs="Times New Roman" w:hAnsi="Times New Roman" w:hint="eastAsia"/>
          <w:bCs w:val="0"/>
          <w:sz w:val="32"/>
          <w:szCs w:val="32"/>
          <w:lang w:val="zh-CN" w:eastAsia="zh-CN"/>
        </w:rPr>
        <w:t>四、项目绩效情况</w:t>
      </w:r>
      <w:bookmarkEnd w:id="241"/>
      <w:bookmarkEnd w:id="242"/>
      <w:bookmarkEnd w:id="243"/>
      <w:bookmarkEnd w:id="244"/>
      <w:r>
        <w:rPr>
          <w:rFonts w:ascii="仿宋_GB2312" w:eastAsia="仿宋_GB2312" w:cs="仿宋_GB2312" w:hint="eastAsia"/>
          <w:kern w:val="0"/>
          <w:sz w:val="32"/>
          <w:szCs w:val="32"/>
          <w:lang w:val="zh-CN" w:eastAsia="zh-CN" w:bidi="ar-SA"/>
        </w:rPr>
        <w:tab/>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（一）项目完成情况。</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2025年本系统争取到上级专项资金7800余万元，超额完成年初目标任务。</w:t>
      </w:r>
    </w:p>
    <w:p>
      <w:pPr>
        <w:tabs>
          <w:tab w:val="left" w:pos="6400"/>
        </w:tabs>
        <w:autoSpaceDE w:val="0"/>
        <w:autoSpaceDN w:val="0"/>
        <w:adjustRightInd w:val="0"/>
        <w:spacing w:line="600" w:lineRule="exact"/>
        <w:ind w:firstLineChars="200" w:firstLine="640"/>
        <w:jc w:val="left"/>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（二）项目效益情况。</w:t>
      </w:r>
    </w:p>
    <w:p>
      <w:pPr>
        <w:tabs>
          <w:tab w:val="left" w:pos="6400"/>
        </w:tabs>
        <w:autoSpaceDE w:val="0"/>
        <w:autoSpaceDN w:val="0"/>
        <w:adjustRightInd w:val="0"/>
        <w:spacing w:line="600" w:lineRule="exact"/>
        <w:ind w:firstLineChars="200" w:firstLine="640"/>
        <w:jc w:val="left"/>
        <w:rPr>
          <w:rFonts w:ascii="仿宋_GB2312" w:eastAsia="仿宋_GB2312" w:cs="仿宋_GB2312"/>
          <w:kern w:val="0"/>
          <w:sz w:val="32"/>
          <w:szCs w:val="32"/>
          <w:lang w:val="en-US" w:eastAsia="zh-CN" w:bidi="ar-SA"/>
        </w:rPr>
      </w:pPr>
      <w:r>
        <w:rPr>
          <w:rFonts w:ascii="仿宋_GB2312" w:eastAsia="仿宋_GB2312" w:cs="仿宋_GB2312" w:hint="eastAsia"/>
          <w:kern w:val="0"/>
          <w:sz w:val="32"/>
          <w:szCs w:val="32"/>
          <w:lang w:val="zh-CN" w:eastAsia="zh-CN" w:bidi="ar-SA"/>
        </w:rPr>
        <w:t>我市退役军人工作在上级部门的大力支持下，整体水平得到了有效提升，机关干部职工满意度</w:t>
      </w:r>
      <w:r>
        <w:rPr>
          <w:rFonts w:ascii="仿宋_GB2312" w:eastAsia="仿宋_GB2312" w:cs="仿宋_GB2312" w:hint="eastAsia"/>
          <w:kern w:val="0"/>
          <w:sz w:val="32"/>
          <w:szCs w:val="32"/>
          <w:lang w:val="en-US" w:eastAsia="zh-CN" w:bidi="ar-SA"/>
        </w:rPr>
        <w:t>90%以上。</w:t>
      </w:r>
    </w:p>
    <w:p>
      <w:pPr>
        <w:tabs>
          <w:tab w:val="left" w:pos="6400"/>
        </w:tabs>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45" w:name="_Toc1634520439_WPSOffice_Level2"/>
      <w:bookmarkStart w:id="246" w:name="_Toc973064422_WPSOffice_Level2"/>
      <w:bookmarkStart w:id="247" w:name="_Toc759902274_WPSOffice_Level2"/>
      <w:bookmarkStart w:id="248" w:name="_Toc1289936543_WPSOffice_Level2"/>
      <w:r>
        <w:rPr>
          <w:rFonts w:ascii="Times New Roman" w:eastAsia="黑体" w:cs="Times New Roman" w:hAnsi="Times New Roman" w:hint="eastAsia"/>
          <w:bCs w:val="0"/>
          <w:sz w:val="32"/>
          <w:szCs w:val="32"/>
          <w:lang w:val="zh-CN" w:eastAsia="zh-CN"/>
        </w:rPr>
        <w:t>五、评价结论及建议</w:t>
      </w:r>
      <w:bookmarkEnd w:id="245"/>
      <w:bookmarkEnd w:id="246"/>
      <w:bookmarkEnd w:id="247"/>
      <w:bookmarkEnd w:id="248"/>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（一）评价结论。</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通过深入研究政策、精准对接需求、加强与上级部门的沟通协调，成功争取到专项资金，为攀枝花退役军人事务领域重点项目和民生工程提供了有力保障。工作中，本系统各单位协同配合，形成了高效的工作机制，尤其是在项目申报、材料报送等方面，展现了较强的执行力和创新力。资金的到位有效缓解了地方财政压力，有效推动了退役军人事务领域基础设施建设、公共服务水平的发展。</w:t>
      </w:r>
    </w:p>
    <w:p>
      <w:pPr>
        <w:tabs>
          <w:tab w:val="left" w:pos="6400"/>
        </w:tabs>
        <w:autoSpaceDE w:val="0"/>
        <w:autoSpaceDN w:val="0"/>
        <w:adjustRightInd w:val="0"/>
        <w:spacing w:line="600" w:lineRule="exact"/>
        <w:ind w:firstLineChars="200" w:firstLine="640"/>
        <w:jc w:val="left"/>
        <w:rPr>
          <w:rFonts w:ascii="仿宋_GB2312" w:eastAsia="仿宋_GB2312" w:cs="仿宋_GB2312"/>
          <w:kern w:val="0"/>
          <w:sz w:val="32"/>
          <w:szCs w:val="32"/>
          <w:lang w:val="en-US" w:eastAsia="zh-CN" w:bidi="ar-SA"/>
        </w:rPr>
      </w:pPr>
    </w:p>
    <w:p>
      <w:pPr>
        <w:tabs>
          <w:tab w:val="left" w:pos="6400"/>
        </w:tabs>
        <w:autoSpaceDE w:val="0"/>
        <w:autoSpaceDN w:val="0"/>
        <w:adjustRightInd w:val="0"/>
        <w:spacing w:line="600" w:lineRule="exact"/>
        <w:ind w:firstLineChars="200" w:firstLine="640"/>
        <w:jc w:val="left"/>
        <w:rPr>
          <w:rFonts w:ascii="仿宋_GB2312" w:eastAsia="仿宋_GB2312" w:cs="仿宋_GB2312"/>
          <w:kern w:val="0"/>
          <w:sz w:val="32"/>
          <w:szCs w:val="32"/>
          <w:lang w:val="en-US" w:eastAsia="zh-CN" w:bidi="ar-SA"/>
        </w:rPr>
      </w:pPr>
    </w:p>
    <w:p>
      <w:pPr>
        <w:tabs>
          <w:tab w:val="left" w:pos="6400"/>
        </w:tabs>
        <w:autoSpaceDE w:val="0"/>
        <w:autoSpaceDN w:val="0"/>
        <w:adjustRightInd w:val="0"/>
        <w:spacing w:line="600" w:lineRule="exact"/>
        <w:ind w:firstLineChars="200" w:firstLine="640"/>
        <w:jc w:val="left"/>
        <w:rPr>
          <w:rFonts w:ascii="仿宋_GB2312" w:eastAsia="仿宋_GB2312" w:cs="仿宋_GB2312"/>
          <w:kern w:val="0"/>
          <w:sz w:val="32"/>
          <w:szCs w:val="32"/>
          <w:lang w:val="en-US" w:eastAsia="zh-CN" w:bidi="ar-SA"/>
        </w:rPr>
      </w:pPr>
    </w:p>
    <w:p>
      <w:pPr>
        <w:tabs>
          <w:tab w:val="left" w:pos="6400"/>
        </w:tabs>
        <w:autoSpaceDE w:val="0"/>
        <w:autoSpaceDN w:val="0"/>
        <w:adjustRightInd w:val="0"/>
        <w:spacing w:line="600" w:lineRule="exact"/>
        <w:ind w:firstLineChars="200" w:firstLine="640"/>
        <w:jc w:val="left"/>
        <w:rPr>
          <w:rFonts w:ascii="仿宋_GB2312" w:eastAsia="仿宋_GB2312" w:cs="仿宋_GB2312"/>
          <w:kern w:val="0"/>
          <w:sz w:val="32"/>
          <w:szCs w:val="32"/>
          <w:lang w:val="en-US" w:eastAsia="zh-CN" w:bidi="ar-SA"/>
        </w:rPr>
      </w:pPr>
    </w:p>
    <w:p>
      <w:pPr>
        <w:tabs>
          <w:tab w:val="left" w:pos="6400"/>
        </w:tabs>
        <w:autoSpaceDE w:val="0"/>
        <w:autoSpaceDN w:val="0"/>
        <w:adjustRightInd w:val="0"/>
        <w:spacing w:line="600" w:lineRule="exact"/>
        <w:ind w:firstLineChars="200" w:firstLine="640"/>
        <w:jc w:val="left"/>
        <w:rPr>
          <w:rFonts w:ascii="仿宋_GB2312" w:eastAsia="仿宋_GB2312" w:cs="仿宋_GB2312"/>
          <w:kern w:val="0"/>
          <w:sz w:val="32"/>
          <w:szCs w:val="32"/>
          <w:lang w:val="en-US" w:eastAsia="zh-CN" w:bidi="ar-SA"/>
        </w:rPr>
      </w:pPr>
    </w:p>
    <w:p/>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hint="eastAsia"/>
          <w:kern w:val="0"/>
          <w:sz w:val="32"/>
          <w:szCs w:val="32"/>
        </w:rPr>
      </w:pPr>
      <w:bookmarkStart w:id="249" w:name="_Toc15396618"/>
    </w:p>
    <w:p>
      <w:pPr>
        <w:spacing w:line="578" w:lineRule="exact"/>
        <w:ind w:firstLine="640"/>
        <w:rPr>
          <w:rFonts w:eastAsia="仿宋_GB2312" w:cs="仿宋_GB2312" w:hint="eastAsia"/>
          <w:kern w:val="0"/>
          <w:sz w:val="32"/>
          <w:szCs w:val="32"/>
        </w:rPr>
      </w:pPr>
    </w:p>
    <w:p>
      <w:pPr>
        <w:spacing w:line="578" w:lineRule="exact"/>
        <w:ind w:firstLine="640"/>
        <w:rPr>
          <w:rFonts w:eastAsia="仿宋_GB2312" w:cs="仿宋_GB2312" w:hint="eastAsia"/>
          <w:kern w:val="0"/>
          <w:sz w:val="32"/>
          <w:szCs w:val="32"/>
        </w:rPr>
      </w:pPr>
    </w:p>
    <w:p>
      <w:pPr>
        <w:spacing w:line="578" w:lineRule="exact"/>
        <w:ind w:firstLine="640"/>
        <w:rPr>
          <w:rFonts w:eastAsia="仿宋_GB2312" w:cs="仿宋_GB2312" w:hint="eastAsia"/>
          <w:kern w:val="0"/>
          <w:sz w:val="32"/>
          <w:szCs w:val="32"/>
        </w:rPr>
      </w:pPr>
    </w:p>
    <w:p>
      <w:pPr>
        <w:spacing w:line="578" w:lineRule="exact"/>
        <w:ind w:firstLine="640"/>
        <w:rPr>
          <w:rFonts w:eastAsia="仿宋_GB2312" w:cs="仿宋_GB2312" w:hint="eastAsia"/>
          <w:kern w:val="0"/>
          <w:sz w:val="32"/>
          <w:szCs w:val="32"/>
        </w:rPr>
      </w:pPr>
    </w:p>
    <w:p>
      <w:pPr>
        <w:spacing w:line="578" w:lineRule="exact"/>
        <w:ind w:firstLine="640"/>
        <w:rPr>
          <w:rFonts w:eastAsia="仿宋_GB2312" w:cs="仿宋_GB2312" w:hint="eastAsia"/>
          <w:kern w:val="0"/>
          <w:sz w:val="32"/>
          <w:szCs w:val="32"/>
        </w:rPr>
      </w:pPr>
    </w:p>
    <w:p>
      <w:pPr>
        <w:spacing w:line="578" w:lineRule="exact"/>
        <w:ind w:firstLine="640"/>
        <w:rPr>
          <w:rFonts w:eastAsia="仿宋_GB2312" w:cs="仿宋_GB2312" w:hint="eastAsia"/>
          <w:kern w:val="0"/>
          <w:sz w:val="32"/>
          <w:szCs w:val="32"/>
        </w:rPr>
      </w:pPr>
    </w:p>
    <w:p>
      <w:pPr>
        <w:spacing w:line="578" w:lineRule="exact"/>
        <w:ind w:firstLine="640"/>
        <w:rPr>
          <w:rFonts w:eastAsia="仿宋_GB2312" w:cs="仿宋_GB2312" w:hint="eastAsia"/>
          <w:kern w:val="0"/>
          <w:sz w:val="32"/>
          <w:szCs w:val="32"/>
        </w:rPr>
      </w:pPr>
    </w:p>
    <w:p>
      <w:pPr>
        <w:spacing w:line="578" w:lineRule="exact"/>
        <w:ind w:firstLine="640"/>
        <w:rPr>
          <w:rFonts w:eastAsia="仿宋_GB2312" w:cs="仿宋_GB2312" w:hint="eastAsia"/>
          <w:kern w:val="0"/>
          <w:sz w:val="32"/>
          <w:szCs w:val="32"/>
        </w:rPr>
      </w:pPr>
    </w:p>
    <w:p>
      <w:pPr>
        <w:pStyle w:val="38"/>
        <w:tabs>
          <w:tab w:val="left" w:pos="6400"/>
        </w:tabs>
        <w:spacing w:line="600" w:lineRule="exact"/>
        <w:jc w:val="center"/>
        <w:rPr>
          <w:rFonts w:ascii="Times New Roman" w:eastAsia="方正小标宋简体" w:hAnsi="Times New Roman"/>
          <w:color w:val="auto"/>
          <w:kern w:val="2"/>
          <w:sz w:val="40"/>
          <w:szCs w:val="40"/>
        </w:rPr>
      </w:pPr>
      <w:bookmarkStart w:id="250" w:name="_Toc1094233901_WPSOffice_Level2"/>
      <w:bookmarkStart w:id="251" w:name="_Toc976999918_WPSOffice_Level2"/>
      <w:bookmarkStart w:id="252" w:name="_Toc603937050_WPSOffice_Level2"/>
      <w:bookmarkStart w:id="253" w:name="_Toc1258100790_WPSOffice_Level2"/>
      <w:r>
        <w:rPr>
          <w:rFonts w:ascii="Times New Roman" w:eastAsia="方正小标宋简体" w:hAnsi="Times New Roman"/>
          <w:color w:val="auto"/>
          <w:kern w:val="2"/>
          <w:sz w:val="40"/>
          <w:szCs w:val="40"/>
        </w:rPr>
        <w:t>专项预算项目支出绩效自评报告</w:t>
      </w:r>
      <w:bookmarkEnd w:id="250"/>
      <w:bookmarkEnd w:id="251"/>
      <w:bookmarkEnd w:id="252"/>
      <w:bookmarkEnd w:id="253"/>
    </w:p>
    <w:p>
      <w:pPr>
        <w:pStyle w:val="38"/>
        <w:tabs>
          <w:tab w:val="left" w:pos="6400"/>
        </w:tabs>
        <w:spacing w:line="600" w:lineRule="exact"/>
        <w:ind w:firstLine="640"/>
        <w:jc w:val="center"/>
        <w:rPr>
          <w:rFonts w:ascii="Times New Roman" w:hAnsi="Times New Roman"/>
          <w:color w:val="auto"/>
          <w:kern w:val="2"/>
          <w:sz w:val="32"/>
          <w:szCs w:val="32"/>
          <w:lang w:val="en-US"/>
        </w:rPr>
      </w:pPr>
      <w:r>
        <w:rPr>
          <w:rFonts w:ascii="Times New Roman" w:eastAsia="仿宋_GB2312" w:hAnsi="Times New Roman" w:hint="eastAsia"/>
          <w:kern w:val="0"/>
          <w:sz w:val="24"/>
          <w:szCs w:val="24"/>
          <w:lang w:val="en-US" w:eastAsia="zh-CN"/>
        </w:rPr>
        <w:t>(信息系统维护费)</w:t>
      </w: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254" w:name="_Toc1131738276_WPSOffice_Level2"/>
      <w:bookmarkStart w:id="255" w:name="_Toc615205462_WPSOffice_Level2"/>
      <w:bookmarkStart w:id="256" w:name="_Toc1075197398_WPSOffice_Level2"/>
      <w:bookmarkStart w:id="257" w:name="_Toc497401015_WPSOffice_Level2"/>
      <w:r>
        <w:rPr>
          <w:rFonts w:ascii="Times New Roman" w:eastAsia="黑体" w:cs="Times New Roman" w:hAnsi="Times New Roman" w:hint="eastAsia"/>
          <w:bCs w:val="0"/>
          <w:sz w:val="32"/>
          <w:szCs w:val="32"/>
          <w:lang w:val="en-US" w:eastAsia="zh-CN"/>
        </w:rPr>
        <w:t>一、</w:t>
      </w:r>
      <w:r>
        <w:rPr>
          <w:rFonts w:ascii="Times New Roman" w:eastAsia="黑体" w:cs="Times New Roman" w:hAnsi="Times New Roman" w:hint="eastAsia"/>
          <w:bCs w:val="0"/>
          <w:sz w:val="32"/>
          <w:szCs w:val="32"/>
          <w:lang w:val="zh-CN" w:eastAsia="zh-CN"/>
        </w:rPr>
        <w:t>项目概况</w:t>
      </w:r>
      <w:bookmarkEnd w:id="254"/>
      <w:bookmarkEnd w:id="255"/>
      <w:bookmarkEnd w:id="256"/>
      <w:bookmarkEnd w:id="257"/>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仿宋_GB2312" w:hint="eastAsia"/>
          <w:kern w:val="0"/>
          <w:sz w:val="32"/>
          <w:szCs w:val="32"/>
          <w:lang w:val="en-US" w:eastAsia="zh-CN" w:bidi="ar-SA"/>
        </w:rPr>
        <w:t>此项目主要是对信息化平台进行日常维修、维护、升级，保证平台正常使用。</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Times New Roman" w:eastAsia="楷体_GB2312" w:cs="Times New Roman" w:hAnsi="Times New Roman" w:hint="eastAsia"/>
          <w:b/>
          <w:bCs w:val="0"/>
          <w:sz w:val="32"/>
          <w:szCs w:val="32"/>
          <w:lang w:val="zh-CN" w:eastAsia="zh-CN"/>
        </w:rPr>
        <w:t>（二）项目绩效目标。</w:t>
      </w:r>
      <w:r>
        <w:rPr>
          <w:rFonts w:ascii="仿宋_GB2312" w:eastAsia="仿宋_GB2312" w:cs="仿宋_GB2312" w:hint="eastAsia"/>
          <w:kern w:val="0"/>
          <w:sz w:val="32"/>
          <w:szCs w:val="32"/>
          <w:lang w:val="en-US" w:eastAsia="zh-CN" w:bidi="ar-SA"/>
        </w:rPr>
        <w:t>支撑单位信息化系统正常运转，保障日常工作顺利开展。</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（三）项目自评步骤及方法。</w:t>
      </w:r>
      <w:r>
        <w:rPr>
          <w:rFonts w:ascii="仿宋_GB2312" w:eastAsia="仿宋_GB2312" w:cs="仿宋_GB2312" w:hint="eastAsia"/>
          <w:kern w:val="0"/>
          <w:sz w:val="32"/>
          <w:szCs w:val="32"/>
          <w:lang w:val="zh-CN" w:eastAsia="zh-CN" w:bidi="ar-SA"/>
        </w:rPr>
        <w:t>本次项目自评严格按照政策要求，坚持客观公正、实事求是原则。以项目实施方案、绩效目标、资金管理办法为依据，全面梳理预算文件、台账资料、财务凭证等基础材料，对照绩效指标逐项核验完成情况，坚持定量与定性相结合的评估方法，客观评估项目产出、效益及目标实现度。通过全面总结成效，深查细摆问题，剖析深层原因，提出切实可行的整改措施，整个过程公开透明、客观公正，严格遵守财政资金管理规定，绩效评价结果真实准确。</w:t>
      </w:r>
    </w:p>
    <w:p>
      <w:pPr>
        <w:adjustRightInd w:val="0"/>
        <w:snapToGrid w:val="0"/>
        <w:spacing w:line="600" w:lineRule="exact"/>
        <w:ind w:firstLine="720"/>
        <w:jc w:val="both"/>
        <w:rPr>
          <w:rFonts w:ascii="Times New Roman" w:eastAsia="黑体" w:cs="Times New Roman" w:hAnsi="Times New Roman" w:hint="eastAsia"/>
          <w:bCs w:val="0"/>
          <w:sz w:val="32"/>
          <w:szCs w:val="32"/>
          <w:lang w:val="en-US" w:eastAsia="zh-CN"/>
        </w:rPr>
      </w:pPr>
      <w:bookmarkStart w:id="258" w:name="_Toc1350157056_WPSOffice_Level2"/>
      <w:bookmarkStart w:id="259" w:name="_Toc2137167641_WPSOffice_Level2"/>
      <w:bookmarkStart w:id="260" w:name="_Toc899154118_WPSOffice_Level2"/>
      <w:bookmarkStart w:id="261" w:name="_Toc1923334237_WPSOffice_Level2"/>
      <w:r>
        <w:rPr>
          <w:rFonts w:ascii="Times New Roman" w:eastAsia="黑体" w:cs="Times New Roman" w:hAnsi="Times New Roman" w:hint="eastAsia"/>
          <w:bCs w:val="0"/>
          <w:sz w:val="32"/>
          <w:szCs w:val="32"/>
          <w:lang w:val="en-US" w:eastAsia="zh-CN"/>
        </w:rPr>
        <w:t>二、项目资金申报及使用情况</w:t>
      </w:r>
      <w:bookmarkEnd w:id="258"/>
      <w:bookmarkEnd w:id="259"/>
      <w:bookmarkEnd w:id="260"/>
      <w:bookmarkEnd w:id="261"/>
    </w:p>
    <w:p>
      <w:pPr>
        <w:tabs>
          <w:tab w:val="left" w:pos="6400"/>
        </w:tabs>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（一）项目资金申报及批复情况。</w:t>
      </w:r>
    </w:p>
    <w:p>
      <w:pPr>
        <w:tabs>
          <w:tab w:val="left" w:pos="6400"/>
        </w:tabs>
        <w:autoSpaceDE w:val="0"/>
        <w:autoSpaceDN w:val="0"/>
        <w:adjustRightInd w:val="0"/>
        <w:spacing w:line="600" w:lineRule="exact"/>
        <w:ind w:firstLineChars="200" w:firstLine="640"/>
        <w:jc w:val="left"/>
        <w:rPr>
          <w:rFonts w:ascii="仿宋_GB2312" w:eastAsia="仿宋_GB2312" w:cs="仿宋_GB2312"/>
          <w:kern w:val="0"/>
          <w:sz w:val="32"/>
          <w:szCs w:val="32"/>
          <w:lang w:val="en-US" w:eastAsia="zh-CN" w:bidi="ar-SA"/>
        </w:rPr>
      </w:pPr>
      <w:r>
        <w:rPr>
          <w:rFonts w:ascii="仿宋_GB2312" w:eastAsia="仿宋_GB2312" w:cs="仿宋_GB2312" w:hint="eastAsia"/>
          <w:kern w:val="0"/>
          <w:sz w:val="32"/>
          <w:szCs w:val="32"/>
          <w:lang w:val="en-US" w:eastAsia="zh-CN" w:bidi="ar-SA"/>
        </w:rPr>
        <w:t>2025年度财政部门安排单位预算资金0.94万元。</w:t>
      </w:r>
    </w:p>
    <w:p>
      <w:pPr>
        <w:tabs>
          <w:tab w:val="left" w:pos="6400"/>
        </w:tabs>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（二）资金计划、到位及使用情况（可用表格形式反映）。</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1</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资金计划。</w:t>
      </w:r>
      <w:r>
        <w:rPr>
          <w:rFonts w:ascii="仿宋_GB2312" w:eastAsia="仿宋_GB2312" w:cs="仿宋_GB2312" w:hint="eastAsia"/>
          <w:kern w:val="0"/>
          <w:sz w:val="32"/>
          <w:szCs w:val="32"/>
          <w:lang w:val="en-US" w:eastAsia="zh-CN" w:bidi="ar-SA"/>
        </w:rPr>
        <w:t>信息系统维护费0.94万元</w:t>
      </w:r>
      <w:r>
        <w:rPr>
          <w:rFonts w:ascii="仿宋_GB2312" w:eastAsia="仿宋_GB2312" w:cs="仿宋_GB2312" w:hint="eastAsia"/>
          <w:kern w:val="0"/>
          <w:sz w:val="32"/>
          <w:szCs w:val="32"/>
          <w:lang w:val="zh-CN" w:eastAsia="zh-CN" w:bidi="ar-SA"/>
        </w:rPr>
        <w:t>。资金到位率</w:t>
      </w:r>
      <w:r>
        <w:rPr>
          <w:rFonts w:ascii="仿宋_GB2312" w:eastAsia="仿宋_GB2312" w:cs="仿宋_GB2312" w:hint="eastAsia"/>
          <w:kern w:val="0"/>
          <w:sz w:val="32"/>
          <w:szCs w:val="32"/>
          <w:lang w:val="en-US" w:eastAsia="zh-CN" w:bidi="ar-SA"/>
        </w:rPr>
        <w:t>100%。</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资金到位。市级安排资金</w:t>
      </w:r>
      <w:r>
        <w:rPr>
          <w:rFonts w:ascii="仿宋_GB2312" w:eastAsia="仿宋_GB2312" w:cs="仿宋_GB2312" w:hint="eastAsia"/>
          <w:kern w:val="0"/>
          <w:sz w:val="32"/>
          <w:szCs w:val="32"/>
          <w:lang w:val="en-US" w:eastAsia="zh-CN" w:bidi="ar-SA"/>
        </w:rPr>
        <w:t>0.94万元，资金到位与计划资金完全一致。</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zh-CN" w:eastAsia="zh-CN" w:bidi="ar-SA"/>
        </w:rPr>
        <w:t>3</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资金使用。</w:t>
      </w:r>
      <w:r>
        <w:rPr>
          <w:rFonts w:ascii="仿宋_GB2312" w:eastAsia="仿宋_GB2312" w:cs="仿宋_GB2312" w:hint="eastAsia"/>
          <w:kern w:val="0"/>
          <w:sz w:val="32"/>
          <w:szCs w:val="32"/>
          <w:lang w:val="en-US" w:eastAsia="zh-CN" w:bidi="ar-SA"/>
        </w:rPr>
        <w:t>2025年预算管理一体化系统、业务运行系统维护支出0.94万元。资金支付范围、支付标准、支付进度、支付依据等合规合法、与预算相符，严格按照申报计划全额使用。</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（三）项目财务管理情况。</w:t>
      </w:r>
      <w:r>
        <w:rPr>
          <w:rFonts w:ascii="仿宋_GB2312" w:eastAsia="仿宋_GB2312" w:cs="仿宋_GB2312" w:hint="eastAsia"/>
          <w:kern w:val="0"/>
          <w:sz w:val="32"/>
          <w:szCs w:val="32"/>
          <w:lang w:val="en-US" w:eastAsia="zh-CN" w:bidi="ar-SA"/>
        </w:rPr>
        <w:t>项目资金严格按照项目支出的范围、用途控制，坚持专款专用，不存在挤占挪用现象，资金支出合法、合理，会计核算符合相关规定。</w:t>
      </w:r>
    </w:p>
    <w:p>
      <w:pPr>
        <w:adjustRightInd w:val="0"/>
        <w:snapToGrid w:val="0"/>
        <w:spacing w:line="600" w:lineRule="exact"/>
        <w:ind w:firstLine="720"/>
        <w:jc w:val="both"/>
        <w:rPr>
          <w:rFonts w:ascii="Times New Roman" w:eastAsia="黑体" w:cs="Times New Roman" w:hAnsi="Times New Roman" w:hint="eastAsia"/>
          <w:bCs w:val="0"/>
          <w:sz w:val="32"/>
          <w:szCs w:val="32"/>
          <w:lang w:val="en-US" w:eastAsia="zh-CN"/>
        </w:rPr>
      </w:pPr>
      <w:bookmarkStart w:id="262" w:name="_Toc1582976960_WPSOffice_Level2"/>
      <w:bookmarkStart w:id="263" w:name="_Toc389301593_WPSOffice_Level2"/>
      <w:bookmarkStart w:id="264" w:name="_Toc920758662_WPSOffice_Level2"/>
      <w:bookmarkStart w:id="265" w:name="_Toc433492714_WPSOffice_Level2"/>
      <w:r>
        <w:rPr>
          <w:rFonts w:ascii="Times New Roman" w:eastAsia="黑体" w:cs="Times New Roman" w:hAnsi="Times New Roman" w:hint="eastAsia"/>
          <w:bCs w:val="0"/>
          <w:sz w:val="32"/>
          <w:szCs w:val="32"/>
          <w:lang w:val="en-US" w:eastAsia="zh-CN"/>
        </w:rPr>
        <w:t>三、项目实施及管理情况</w:t>
      </w:r>
      <w:bookmarkEnd w:id="262"/>
      <w:bookmarkEnd w:id="263"/>
      <w:bookmarkEnd w:id="264"/>
      <w:bookmarkEnd w:id="265"/>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（一）项目组织架构及实施流程。</w:t>
      </w:r>
      <w:r>
        <w:rPr>
          <w:rFonts w:ascii="仿宋_GB2312" w:eastAsia="仿宋_GB2312" w:cs="仿宋_GB2312" w:hint="eastAsia"/>
          <w:kern w:val="0"/>
          <w:sz w:val="32"/>
          <w:szCs w:val="32"/>
          <w:lang w:val="en-US" w:eastAsia="zh-CN" w:bidi="ar-SA"/>
        </w:rPr>
        <w:t>信息系统维护费实行</w:t>
      </w:r>
      <w:r>
        <w:rPr>
          <w:rFonts w:ascii="仿宋_GB2312" w:eastAsia="仿宋_GB2312" w:cs="仿宋_GB2312" w:hint="eastAsia"/>
          <w:kern w:val="0"/>
          <w:sz w:val="32"/>
          <w:szCs w:val="32"/>
          <w:lang w:val="zh-CN" w:eastAsia="zh-CN" w:bidi="ar-SA"/>
        </w:rPr>
        <w:t>“分管领导负责、业务科室推进、财务全程监督”的运行机制。分管领导负责统筹方向，协调解决实施过程中的重大事项；办公室严格按照计划细化分工，压实工作责任，保障项目按节点有序推进；财务人员全流程参与，严格履行预算编制与资金拨付审批职责，加强资金流向全周期监管。整个流程权责清晰、运转顺畅，各环节密切配合，有力保障了项目平稳落地。</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（二）项目管理情况。</w:t>
      </w:r>
      <w:r>
        <w:rPr>
          <w:rFonts w:ascii="仿宋_GB2312" w:eastAsia="仿宋_GB2312" w:cs="仿宋_GB2312" w:hint="eastAsia"/>
          <w:kern w:val="0"/>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（三）项目监管情况。</w:t>
      </w:r>
      <w:r>
        <w:rPr>
          <w:rFonts w:ascii="仿宋_GB2312" w:eastAsia="仿宋_GB2312" w:cs="仿宋_GB2312" w:hint="eastAsia"/>
          <w:kern w:val="0"/>
          <w:sz w:val="32"/>
          <w:szCs w:val="32"/>
          <w:lang w:val="zh-CN" w:eastAsia="zh-CN" w:bidi="ar-SA"/>
        </w:rPr>
        <w:t>严格按照政策规定和资金管理要求实施全过程监管，建立健全审核、复核、监督机制。在对资金核算、支付流程等关键环节层层把关、从严审核，确保资金执行到位、程序合法合规。资金使用过程中，坚持每月开展绩效监控，强化动态跟踪与风险防控，确保资金专款专用、安全规范。同时，加强信息公开，定期公示项目进展和资金使用情况，接受社会监督。</w:t>
      </w:r>
    </w:p>
    <w:p>
      <w:pPr>
        <w:adjustRightInd w:val="0"/>
        <w:snapToGrid w:val="0"/>
        <w:spacing w:line="600" w:lineRule="exact"/>
        <w:ind w:firstLine="720"/>
        <w:jc w:val="both"/>
        <w:rPr>
          <w:rFonts w:ascii="Times New Roman" w:eastAsia="黑体" w:cs="Times New Roman" w:hAnsi="Times New Roman" w:hint="eastAsia"/>
          <w:bCs w:val="0"/>
          <w:sz w:val="32"/>
          <w:szCs w:val="32"/>
          <w:lang w:val="zh-CN" w:eastAsia="zh-CN"/>
        </w:rPr>
      </w:pPr>
      <w:bookmarkStart w:id="266" w:name="_Toc1269556602_WPSOffice_Level2"/>
      <w:bookmarkStart w:id="267" w:name="_Toc1662920299_WPSOffice_Level2"/>
      <w:bookmarkStart w:id="268" w:name="_Toc1685934282_WPSOffice_Level2"/>
      <w:bookmarkStart w:id="269" w:name="_Toc246748018_WPSOffice_Level2"/>
      <w:r>
        <w:rPr>
          <w:rFonts w:ascii="Times New Roman" w:eastAsia="黑体" w:cs="Times New Roman" w:hAnsi="Times New Roman" w:hint="eastAsia"/>
          <w:bCs w:val="0"/>
          <w:sz w:val="32"/>
          <w:szCs w:val="32"/>
          <w:lang w:val="en-US" w:eastAsia="zh-CN"/>
        </w:rPr>
        <w:t>四、项目绩效情况</w:t>
      </w:r>
      <w:bookmarkEnd w:id="266"/>
      <w:bookmarkEnd w:id="267"/>
      <w:bookmarkEnd w:id="268"/>
      <w:bookmarkEnd w:id="269"/>
      <w:r>
        <w:rPr>
          <w:rFonts w:ascii="Times New Roman" w:eastAsia="黑体" w:cs="Times New Roman" w:hAnsi="Times New Roman" w:hint="eastAsia"/>
          <w:bCs w:val="0"/>
          <w:sz w:val="32"/>
          <w:szCs w:val="32"/>
          <w:lang w:val="zh-CN" w:eastAsia="zh-CN"/>
        </w:rPr>
        <w:tab/>
      </w:r>
    </w:p>
    <w:p>
      <w:pPr>
        <w:tabs>
          <w:tab w:val="left" w:pos="6400"/>
        </w:tabs>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（一）项目完成情况。</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本年度投入资金0.94万元，用于优化系统数据、更新系统等。系统运行稳定性显著提升，数据安全保障加强，为部门业务高效开展提供有力支持，经费使用合理，达成预期目标。</w:t>
      </w:r>
    </w:p>
    <w:p>
      <w:pPr>
        <w:tabs>
          <w:tab w:val="left" w:pos="6400"/>
        </w:tabs>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（二）项目效益情况。</w:t>
      </w:r>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项目实施后，系统运行效率大幅提升，故障率明显降低，有效提升了政务服务效率，为部门高效办公提供了有力支撑。</w:t>
      </w:r>
    </w:p>
    <w:p>
      <w:pPr>
        <w:adjustRightInd w:val="0"/>
        <w:snapToGrid w:val="0"/>
        <w:spacing w:line="600" w:lineRule="exact"/>
        <w:ind w:firstLine="720"/>
        <w:jc w:val="both"/>
        <w:rPr>
          <w:rFonts w:ascii="Times New Roman" w:eastAsia="黑体" w:cs="Times New Roman" w:hAnsi="Times New Roman" w:hint="eastAsia"/>
          <w:bCs w:val="0"/>
          <w:sz w:val="32"/>
          <w:szCs w:val="32"/>
          <w:lang w:val="en-US" w:eastAsia="zh-CN"/>
        </w:rPr>
      </w:pPr>
      <w:bookmarkStart w:id="270" w:name="_Toc1256491233_WPSOffice_Level2"/>
      <w:bookmarkStart w:id="271" w:name="_Toc1813361391_WPSOffice_Level2"/>
      <w:bookmarkStart w:id="272" w:name="_Toc1115822910_WPSOffice_Level2"/>
      <w:bookmarkStart w:id="273" w:name="_Toc405733530_WPSOffice_Level2"/>
      <w:r>
        <w:rPr>
          <w:rFonts w:ascii="Times New Roman" w:eastAsia="黑体" w:cs="Times New Roman" w:hAnsi="Times New Roman" w:hint="eastAsia"/>
          <w:bCs w:val="0"/>
          <w:sz w:val="32"/>
          <w:szCs w:val="32"/>
          <w:lang w:val="en-US" w:eastAsia="zh-CN"/>
        </w:rPr>
        <w:t>五、评价结论及建议</w:t>
      </w:r>
      <w:bookmarkEnd w:id="270"/>
      <w:bookmarkEnd w:id="271"/>
      <w:bookmarkEnd w:id="272"/>
      <w:bookmarkEnd w:id="273"/>
    </w:p>
    <w:p>
      <w:pPr>
        <w:tabs>
          <w:tab w:val="left" w:pos="6400"/>
        </w:tabs>
        <w:autoSpaceDE w:val="0"/>
        <w:autoSpaceDN w:val="0"/>
        <w:adjustRightInd w:val="0"/>
        <w:spacing w:line="600" w:lineRule="exact"/>
        <w:ind w:firstLineChars="200" w:firstLine="640"/>
        <w:jc w:val="left"/>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 xml:space="preserve"> 项目实施过程规范，经费使用合理高效。通过维护，系统运行稳定性显著提升，故障率大幅降低，数据安全性得到有力保障，达到了预期目标。</w:t>
      </w:r>
    </w:p>
    <w:p>
      <w:pPr>
        <w:spacing w:line="578" w:lineRule="exact"/>
        <w:rPr>
          <w:rFonts w:eastAsia="仿宋_GB2312" w:cs="仿宋_GB2312" w:hint="eastAsia"/>
          <w:kern w:val="0"/>
          <w:sz w:val="32"/>
          <w:szCs w:val="32"/>
        </w:rPr>
      </w:pPr>
    </w:p>
    <w:p>
      <w:pPr>
        <w:pStyle w:val="38"/>
        <w:spacing w:line="600" w:lineRule="exact"/>
        <w:jc w:val="center"/>
        <w:rPr>
          <w:rFonts w:ascii="Times New Roman" w:eastAsia="方正小标宋简体" w:hAnsi="Times New Roman"/>
          <w:color w:val="auto"/>
          <w:kern w:val="2"/>
          <w:sz w:val="40"/>
          <w:szCs w:val="40"/>
        </w:rPr>
      </w:pPr>
      <w:bookmarkStart w:id="274" w:name="_Toc1237425577_WPSOffice_Level2"/>
      <w:bookmarkStart w:id="275" w:name="_Toc967594057_WPSOffice_Level2"/>
      <w:bookmarkStart w:id="276" w:name="_Toc1023204177_WPSOffice_Level2"/>
      <w:bookmarkStart w:id="277" w:name="_Toc294839997_WPSOffice_Level2"/>
      <w:r>
        <w:rPr>
          <w:rFonts w:ascii="Times New Roman" w:eastAsia="方正小标宋简体" w:hAnsi="Times New Roman"/>
          <w:color w:val="auto"/>
          <w:kern w:val="2"/>
          <w:sz w:val="40"/>
          <w:szCs w:val="40"/>
        </w:rPr>
        <w:t>专项预算项目支出绩效自评报告</w:t>
      </w:r>
      <w:bookmarkEnd w:id="274"/>
      <w:bookmarkEnd w:id="275"/>
      <w:bookmarkEnd w:id="276"/>
      <w:bookmarkEnd w:id="277"/>
    </w:p>
    <w:p>
      <w:pPr>
        <w:pStyle w:val="38"/>
        <w:spacing w:line="600" w:lineRule="exact"/>
        <w:ind w:firstLine="883"/>
        <w:jc w:val="center"/>
        <w:rPr>
          <w:rFonts w:ascii="Times New Roman" w:eastAsia="方正小标宋简体" w:hAnsi="Times New Roman"/>
          <w:color w:val="auto"/>
          <w:kern w:val="2"/>
          <w:sz w:val="40"/>
          <w:szCs w:val="40"/>
        </w:rPr>
      </w:pPr>
      <w:r>
        <w:rPr>
          <w:rFonts w:ascii="Times New Roman" w:eastAsia="仿宋_GB2312" w:cs="Times New Roman" w:hAnsi="Times New Roman" w:hint="eastAsia"/>
          <w:color w:val="auto"/>
          <w:kern w:val="0"/>
          <w:sz w:val="24"/>
          <w:szCs w:val="24"/>
          <w:lang w:val="en-US" w:eastAsia="zh-CN" w:bidi="ar-SA"/>
        </w:rPr>
        <w:t>（关工委工作经费）</w:t>
      </w:r>
    </w:p>
    <w:p>
      <w:pPr>
        <w:pStyle w:val="38"/>
        <w:spacing w:line="600" w:lineRule="exact"/>
        <w:ind w:firstLine="640"/>
        <w:jc w:val="center"/>
        <w:rPr>
          <w:rFonts w:ascii="Times New Roman" w:hAnsi="Times New Roman"/>
          <w:color w:val="auto"/>
          <w:kern w:val="2"/>
          <w:sz w:val="32"/>
          <w:szCs w:val="32"/>
        </w:rPr>
      </w:pP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78" w:name="_Toc1643575194_WPSOffice_Level2"/>
      <w:bookmarkStart w:id="279" w:name="_Toc1490448032_WPSOffice_Level2"/>
      <w:bookmarkStart w:id="280" w:name="_Toc1096696385_WPSOffice_Level2"/>
      <w:bookmarkStart w:id="281" w:name="_Toc511060114_WPSOffice_Level2"/>
      <w:r>
        <w:rPr>
          <w:rFonts w:ascii="Times New Roman" w:eastAsia="黑体" w:cs="Times New Roman" w:hAnsi="Times New Roman" w:hint="eastAsia"/>
          <w:bCs w:val="0"/>
          <w:sz w:val="32"/>
          <w:szCs w:val="32"/>
          <w:lang w:val="zh-CN" w:eastAsia="zh-CN"/>
        </w:rPr>
        <w:t>一、项目概况</w:t>
      </w:r>
      <w:bookmarkEnd w:id="278"/>
      <w:bookmarkEnd w:id="279"/>
      <w:bookmarkEnd w:id="280"/>
      <w:bookmarkEnd w:id="281"/>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仿宋_GB2312" w:hint="eastAsia"/>
          <w:kern w:val="0"/>
          <w:sz w:val="32"/>
          <w:szCs w:val="32"/>
          <w:lang w:val="zh-CN" w:eastAsia="zh-CN" w:bidi="ar-SA"/>
        </w:rPr>
        <w:t>围绕青少年思想道德教育、法治宣传、关爱帮扶、家校社协同育人开展工作，助力青少年健康成长、全面发展，营造良好成长环境。</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（二）项目绩效目标。</w:t>
      </w:r>
      <w:r>
        <w:rPr>
          <w:rFonts w:ascii="仿宋_GB2312" w:eastAsia="仿宋_GB2312" w:cs="仿宋_GB2312" w:hint="eastAsia"/>
          <w:kern w:val="0"/>
          <w:sz w:val="32"/>
          <w:szCs w:val="32"/>
          <w:lang w:val="zh-CN" w:eastAsia="zh-CN" w:bidi="ar-SA"/>
        </w:rPr>
        <w:t>持续做好机关及下属单位关工委自身建设，发挥爱国主义教育基地作用，深入开展革命传统教育，持续加强思想引领。通过开展青少年关爱、家风教育等日常活动，引导青少年树立社会主义核心低值观，扎实推进青少年思想道德建设，营造青少年良好成长环境，助力青少年健康成长、全面发展。</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（三）项目自评步骤及方法。</w:t>
      </w:r>
      <w:r>
        <w:rPr>
          <w:rFonts w:ascii="仿宋_GB2312" w:eastAsia="仿宋_GB2312" w:cs="仿宋_GB2312" w:hint="eastAsia"/>
          <w:kern w:val="0"/>
          <w:sz w:val="32"/>
          <w:szCs w:val="32"/>
          <w:lang w:val="zh-CN" w:eastAsia="zh-CN" w:bidi="ar-SA"/>
        </w:rPr>
        <w:t>本次项目自评严格按照政策要求，坚持客观公正、实事求是原则。以项目实施方案、绩效目标、资金管理办法为依据，全面梳理预算文件、台账资料、财务凭证等基础材料，对照绩效指标逐项核验完成情况，坚持定量与定性相结合的评估方法，客观评估项目产出、效益及目标实现度。通过全面总结成效，深查细摆问题，剖析深层原因，提出切实可行的整改措施，整个过程公开透明、客观公正，严格遵守财政资金管理规定，绩效评价结果真实准确。</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82" w:name="_Toc616075119_WPSOffice_Level2"/>
      <w:bookmarkStart w:id="283" w:name="_Toc1405642450_WPSOffice_Level2"/>
      <w:bookmarkStart w:id="284" w:name="_Toc1648963075_WPSOffice_Level2"/>
      <w:bookmarkStart w:id="285" w:name="_Toc1270366261_WPSOffice_Level2"/>
      <w:r>
        <w:rPr>
          <w:rFonts w:ascii="Times New Roman" w:eastAsia="黑体" w:cs="Times New Roman" w:hAnsi="Times New Roman" w:hint="eastAsia"/>
          <w:bCs w:val="0"/>
          <w:sz w:val="32"/>
          <w:szCs w:val="32"/>
          <w:lang w:val="zh-CN" w:eastAsia="zh-CN"/>
        </w:rPr>
        <w:t>二、项目资金申报及使用情况</w:t>
      </w:r>
      <w:bookmarkEnd w:id="282"/>
      <w:bookmarkEnd w:id="283"/>
      <w:bookmarkEnd w:id="284"/>
      <w:bookmarkEnd w:id="285"/>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（一）项目资金申报及批复情况。</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仿宋_GB2312" w:eastAsia="仿宋_GB2312" w:cs="仿宋_GB2312"/>
          <w:kern w:val="0"/>
          <w:sz w:val="32"/>
          <w:szCs w:val="32"/>
          <w:lang w:val="zh-CN" w:eastAsia="zh-CN" w:bidi="ar-SA"/>
        </w:rPr>
        <w:t>202</w:t>
      </w:r>
      <w:r>
        <w:rPr>
          <w:rFonts w:ascii="仿宋_GB2312" w:eastAsia="仿宋_GB2312" w:cs="仿宋_GB2312"/>
          <w:kern w:val="0"/>
          <w:sz w:val="32"/>
          <w:szCs w:val="32"/>
          <w:lang w:val="en-US" w:eastAsia="zh-CN" w:bidi="ar-SA"/>
        </w:rPr>
        <w:t>5</w:t>
      </w:r>
      <w:r>
        <w:rPr>
          <w:rFonts w:ascii="仿宋_GB2312" w:eastAsia="仿宋_GB2312" w:cs="仿宋_GB2312"/>
          <w:kern w:val="0"/>
          <w:sz w:val="32"/>
          <w:szCs w:val="32"/>
          <w:lang w:val="zh-CN" w:eastAsia="zh-CN" w:bidi="ar-SA"/>
        </w:rPr>
        <w:t>年度财政部门下达攀财资预〔202</w:t>
      </w:r>
      <w:r>
        <w:rPr>
          <w:rFonts w:ascii="仿宋_GB2312" w:eastAsia="仿宋_GB2312" w:cs="仿宋_GB2312"/>
          <w:kern w:val="0"/>
          <w:sz w:val="32"/>
          <w:szCs w:val="32"/>
          <w:lang w:val="en-US" w:eastAsia="zh-CN" w:bidi="ar-SA"/>
        </w:rPr>
        <w:t>5</w:t>
      </w:r>
      <w:r>
        <w:rPr>
          <w:rFonts w:ascii="仿宋_GB2312" w:eastAsia="仿宋_GB2312" w:cs="仿宋_GB2312"/>
          <w:kern w:val="0"/>
          <w:sz w:val="32"/>
          <w:szCs w:val="32"/>
          <w:lang w:val="zh-CN" w:eastAsia="zh-CN" w:bidi="ar-SA"/>
        </w:rPr>
        <w:t>〕64号文件，追加关工委工作经费</w:t>
      </w:r>
      <w:r>
        <w:rPr>
          <w:rFonts w:ascii="仿宋_GB2312" w:eastAsia="仿宋_GB2312" w:cs="仿宋_GB2312"/>
          <w:kern w:val="0"/>
          <w:sz w:val="32"/>
          <w:szCs w:val="32"/>
          <w:lang w:eastAsia="zh-CN" w:bidi="ar-SA"/>
        </w:rPr>
        <w:t>0.22</w:t>
      </w:r>
      <w:r>
        <w:rPr>
          <w:rFonts w:ascii="仿宋_GB2312" w:eastAsia="仿宋_GB2312" w:cs="仿宋_GB2312"/>
          <w:kern w:val="0"/>
          <w:sz w:val="32"/>
          <w:szCs w:val="32"/>
          <w:lang w:val="zh-CN" w:eastAsia="zh-CN" w:bidi="ar-SA"/>
        </w:rPr>
        <w:t>万元。</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（二）资金计划、到位及使用情况（可用表格形式反映）。</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仿宋_GB2312" w:eastAsia="仿宋_GB2312" w:cs="仿宋_GB2312"/>
          <w:kern w:val="0"/>
          <w:sz w:val="32"/>
          <w:szCs w:val="32"/>
          <w:lang w:val="zh-CN" w:eastAsia="zh-CN" w:bidi="ar-SA"/>
        </w:rPr>
        <w:t>1.资金计划。</w:t>
      </w:r>
      <w:r>
        <w:rPr>
          <w:rFonts w:ascii="仿宋_GB2312" w:eastAsia="仿宋_GB2312" w:cs="仿宋_GB2312" w:hint="eastAsia"/>
          <w:kern w:val="0"/>
          <w:sz w:val="32"/>
          <w:szCs w:val="32"/>
          <w:lang w:val="zh-CN" w:eastAsia="zh-CN" w:bidi="ar-SA"/>
        </w:rPr>
        <w:t>关工委工作经费</w:t>
      </w:r>
      <w:r>
        <w:rPr>
          <w:rFonts w:ascii="仿宋_GB2312" w:eastAsia="仿宋_GB2312" w:cs="仿宋_GB2312"/>
          <w:kern w:val="0"/>
          <w:sz w:val="32"/>
          <w:szCs w:val="32"/>
          <w:lang w:val="zh-CN" w:eastAsia="zh-CN" w:bidi="ar-SA"/>
        </w:rPr>
        <w:t>预算资金0.</w:t>
      </w:r>
      <w:r>
        <w:rPr>
          <w:rFonts w:ascii="仿宋_GB2312" w:eastAsia="仿宋_GB2312" w:cs="仿宋_GB2312" w:hint="eastAsia"/>
          <w:kern w:val="0"/>
          <w:sz w:val="32"/>
          <w:szCs w:val="32"/>
          <w:lang w:val="en-US" w:eastAsia="zh-CN" w:bidi="ar-SA"/>
        </w:rPr>
        <w:t>22</w:t>
      </w:r>
      <w:r>
        <w:rPr>
          <w:rFonts w:ascii="仿宋_GB2312" w:eastAsia="仿宋_GB2312" w:cs="仿宋_GB2312"/>
          <w:kern w:val="0"/>
          <w:sz w:val="32"/>
          <w:szCs w:val="32"/>
          <w:lang w:val="zh-CN" w:eastAsia="zh-CN" w:bidi="ar-SA"/>
        </w:rPr>
        <w:t>万元。资金到位率100%。</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仿宋_GB2312" w:eastAsia="仿宋_GB2312" w:cs="仿宋_GB2312"/>
          <w:kern w:val="0"/>
          <w:sz w:val="32"/>
          <w:szCs w:val="32"/>
          <w:lang w:val="zh-CN" w:eastAsia="zh-CN" w:bidi="ar-SA"/>
        </w:rPr>
        <w:t>2.资金到位。市级安排资金0.</w:t>
      </w:r>
      <w:r>
        <w:rPr>
          <w:rFonts w:ascii="仿宋_GB2312" w:eastAsia="仿宋_GB2312" w:cs="仿宋_GB2312" w:hint="eastAsia"/>
          <w:kern w:val="0"/>
          <w:sz w:val="32"/>
          <w:szCs w:val="32"/>
          <w:lang w:val="en-US" w:eastAsia="zh-CN" w:bidi="ar-SA"/>
        </w:rPr>
        <w:t>22</w:t>
      </w:r>
      <w:r>
        <w:rPr>
          <w:rFonts w:ascii="仿宋_GB2312" w:eastAsia="仿宋_GB2312" w:cs="仿宋_GB2312"/>
          <w:kern w:val="0"/>
          <w:sz w:val="32"/>
          <w:szCs w:val="32"/>
          <w:lang w:val="zh-CN" w:eastAsia="zh-CN" w:bidi="ar-SA"/>
        </w:rPr>
        <w:t>万元，资金到位与计划资金完全一致。</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kern w:val="0"/>
          <w:sz w:val="32"/>
          <w:szCs w:val="32"/>
          <w:lang w:val="zh-CN" w:eastAsia="zh-CN" w:bidi="ar-SA"/>
        </w:rPr>
        <w:t>3.资金使用。202</w:t>
      </w:r>
      <w:r>
        <w:rPr>
          <w:rFonts w:ascii="仿宋_GB2312" w:eastAsia="仿宋_GB2312" w:cs="仿宋_GB2312"/>
          <w:kern w:val="0"/>
          <w:sz w:val="32"/>
          <w:szCs w:val="32"/>
          <w:lang w:val="en-US" w:eastAsia="zh-CN" w:bidi="ar-SA"/>
        </w:rPr>
        <w:t>5</w:t>
      </w:r>
      <w:r>
        <w:rPr>
          <w:rFonts w:ascii="仿宋_GB2312" w:eastAsia="仿宋_GB2312" w:cs="仿宋_GB2312"/>
          <w:kern w:val="0"/>
          <w:sz w:val="32"/>
          <w:szCs w:val="32"/>
          <w:lang w:val="zh-CN" w:eastAsia="zh-CN" w:bidi="ar-SA"/>
        </w:rPr>
        <w:t>年组织开展关爱青少年活动，支付经费0.</w:t>
      </w:r>
      <w:r>
        <w:rPr>
          <w:rFonts w:ascii="仿宋_GB2312" w:eastAsia="仿宋_GB2312" w:cs="仿宋_GB2312"/>
          <w:kern w:val="0"/>
          <w:sz w:val="32"/>
          <w:szCs w:val="32"/>
          <w:lang w:val="en-US" w:eastAsia="zh-CN" w:bidi="ar-SA"/>
        </w:rPr>
        <w:t>22</w:t>
      </w:r>
      <w:r>
        <w:rPr>
          <w:rFonts w:ascii="仿宋_GB2312" w:eastAsia="仿宋_GB2312" w:cs="仿宋_GB2312"/>
          <w:kern w:val="0"/>
          <w:sz w:val="32"/>
          <w:szCs w:val="32"/>
          <w:lang w:val="zh-CN" w:eastAsia="zh-CN" w:bidi="ar-SA"/>
        </w:rPr>
        <w:t>万元。资金支付范围、支付标准、支付进度、支付依据等合规合法、与预算相符，严格按照申报计划全额使用。</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（三）项目财务管理情况。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项目资金严格按照项目支出的范围、用途控制，坚持专款专用，不存在挤占挪用现象，资金支出合法、合理，会计核算符合相关规定。</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86" w:name="_Toc2137065686_WPSOffice_Level2"/>
      <w:bookmarkStart w:id="287" w:name="_Toc1965159837_WPSOffice_Level2"/>
      <w:bookmarkStart w:id="288" w:name="_Toc760151055_WPSOffice_Level2"/>
      <w:bookmarkStart w:id="289" w:name="_Toc1266952643_WPSOffice_Level2"/>
      <w:r>
        <w:rPr>
          <w:rFonts w:ascii="Times New Roman" w:eastAsia="黑体" w:cs="Times New Roman" w:hAnsi="Times New Roman" w:hint="eastAsia"/>
          <w:bCs w:val="0"/>
          <w:sz w:val="32"/>
          <w:szCs w:val="32"/>
          <w:lang w:val="zh-CN" w:eastAsia="zh-CN"/>
        </w:rPr>
        <w:t>三、项目实施及管理情况</w:t>
      </w:r>
      <w:bookmarkEnd w:id="286"/>
      <w:bookmarkEnd w:id="287"/>
      <w:bookmarkEnd w:id="288"/>
      <w:bookmarkEnd w:id="289"/>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Times New Roman" w:eastAsia="楷体_GB2312" w:cs="Times New Roman" w:hAnsi="Times New Roman"/>
          <w:b/>
          <w:bCs w:val="0"/>
          <w:sz w:val="32"/>
          <w:szCs w:val="32"/>
          <w:lang w:val="zh-CN" w:eastAsia="zh-CN"/>
        </w:rPr>
        <w:t>（一）项目组织架构及实施流程。</w:t>
      </w:r>
      <w:r>
        <w:rPr>
          <w:rFonts w:ascii="仿宋_GB2312" w:eastAsia="仿宋_GB2312" w:cs="仿宋_GB2312" w:hint="eastAsia"/>
          <w:kern w:val="0"/>
          <w:sz w:val="32"/>
          <w:szCs w:val="32"/>
          <w:lang w:val="zh-CN" w:eastAsia="zh-CN" w:bidi="ar-SA"/>
        </w:rPr>
        <w:t>关工委工作经费</w:t>
      </w:r>
      <w:r>
        <w:rPr>
          <w:rFonts w:ascii="仿宋_GB2312" w:eastAsia="仿宋_GB2312" w:cs="仿宋_GB2312" w:hint="eastAsia"/>
          <w:kern w:val="0"/>
          <w:sz w:val="32"/>
          <w:szCs w:val="32"/>
          <w:lang w:val="en-US" w:eastAsia="zh-CN" w:bidi="ar-SA"/>
        </w:rPr>
        <w:t>实行</w:t>
      </w:r>
      <w:r>
        <w:rPr>
          <w:rFonts w:ascii="仿宋_GB2312" w:eastAsia="仿宋_GB2312" w:cs="仿宋_GB2312" w:hint="eastAsia"/>
          <w:kern w:val="0"/>
          <w:sz w:val="32"/>
          <w:szCs w:val="32"/>
          <w:lang w:val="zh-CN" w:eastAsia="zh-CN" w:bidi="ar-SA"/>
        </w:rPr>
        <w:t>“分管领导负责、科室推进、财务全程监督”的运行机制。分管领导负责统筹方向，协调解决实施过程中的重大事项；办公室严格按照计划细化分工，压实工作责任，保障项目按节点有序推进；财务人员全流程参与，严格履行预算编制与资金拨付审批职责，加强资金流向全周期监管。整个流程权责清晰、运转顺畅，各环节密切配合，有力保障了项目平稳落地。</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Times New Roman" w:eastAsia="楷体_GB2312" w:cs="Times New Roman" w:hAnsi="Times New Roman"/>
          <w:b/>
          <w:bCs w:val="0"/>
          <w:sz w:val="32"/>
          <w:szCs w:val="32"/>
          <w:lang w:val="zh-CN" w:eastAsia="zh-CN"/>
        </w:rPr>
        <w:t>（二）项目管理情况。</w:t>
      </w:r>
      <w:r>
        <w:rPr>
          <w:rFonts w:ascii="仿宋_GB2312" w:eastAsia="仿宋_GB2312" w:cs="仿宋_GB2312" w:hint="eastAsia"/>
          <w:kern w:val="0"/>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Times New Roman" w:eastAsia="楷体_GB2312" w:cs="Times New Roman" w:hAnsi="Times New Roman"/>
          <w:b/>
          <w:bCs w:val="0"/>
          <w:sz w:val="32"/>
          <w:szCs w:val="32"/>
          <w:lang w:val="zh-CN" w:eastAsia="zh-CN"/>
        </w:rPr>
        <w:t>（三）项目监管情况。</w:t>
      </w:r>
      <w:r>
        <w:rPr>
          <w:rFonts w:ascii="仿宋_GB2312" w:eastAsia="仿宋_GB2312" w:cs="仿宋_GB2312" w:hint="eastAsia"/>
          <w:kern w:val="0"/>
          <w:sz w:val="32"/>
          <w:szCs w:val="32"/>
          <w:lang w:val="zh-CN" w:eastAsia="zh-CN" w:bidi="ar-SA"/>
        </w:rPr>
        <w:t>严格按照政策规定和资金管理要求实施全过程监管，建立健全审核、复核、监督机制。在对资金核算、支付流程等关键环节层层把关、从严审核，确保资金执行到位、程序合法合规。资金使用过程中，坚持每月开展绩效监控，强化动态跟踪与风险防控，确保资金专款专用、安全规范。同时，加强信息公开，定期公示项目进展和资金使用情况，接受社会监督。</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90" w:name="_Toc1481263419_WPSOffice_Level2"/>
      <w:bookmarkStart w:id="291" w:name="_Toc1660380742_WPSOffice_Level2"/>
      <w:bookmarkStart w:id="292" w:name="_Toc1839800261_WPSOffice_Level2"/>
      <w:bookmarkStart w:id="293" w:name="_Toc809663765_WPSOffice_Level2"/>
      <w:r>
        <w:rPr>
          <w:rFonts w:ascii="Times New Roman" w:eastAsia="黑体" w:cs="Times New Roman" w:hAnsi="Times New Roman" w:hint="eastAsia"/>
          <w:bCs w:val="0"/>
          <w:sz w:val="32"/>
          <w:szCs w:val="32"/>
          <w:lang w:val="zh-CN" w:eastAsia="zh-CN"/>
        </w:rPr>
        <w:t>四、项目绩效情况</w:t>
      </w:r>
      <w:bookmarkEnd w:id="290"/>
      <w:bookmarkEnd w:id="291"/>
      <w:bookmarkEnd w:id="292"/>
      <w:bookmarkEnd w:id="293"/>
      <w:r>
        <w:rPr>
          <w:rFonts w:ascii="Times New Roman" w:eastAsia="黑体" w:cs="Times New Roman" w:hAnsi="Times New Roman" w:hint="eastAsia"/>
          <w:bCs w:val="0"/>
          <w:sz w:val="32"/>
          <w:szCs w:val="32"/>
          <w:lang w:val="zh-CN" w:eastAsia="zh-CN"/>
        </w:rPr>
        <w:tab/>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（一）项目完成情况。</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仿宋_GB2312" w:eastAsia="仿宋_GB2312" w:cs="仿宋_GB2312"/>
          <w:kern w:val="0"/>
          <w:sz w:val="32"/>
          <w:szCs w:val="32"/>
          <w:lang w:val="zh-CN" w:eastAsia="zh-CN" w:bidi="ar-SA"/>
        </w:rPr>
        <w:t>一是开展“</w:t>
      </w:r>
      <w:r>
        <w:rPr>
          <w:rFonts w:ascii="仿宋_GB2312" w:eastAsia="仿宋_GB2312" w:cs="仿宋_GB2312" w:hint="eastAsia"/>
          <w:kern w:val="0"/>
          <w:sz w:val="32"/>
          <w:szCs w:val="32"/>
          <w:lang w:val="zh-CN" w:eastAsia="zh-CN" w:bidi="ar-SA"/>
        </w:rPr>
        <w:t>红色故事进校园</w:t>
      </w:r>
      <w:r>
        <w:rPr>
          <w:rFonts w:ascii="仿宋_GB2312" w:eastAsia="仿宋_GB2312" w:cs="仿宋_GB2312"/>
          <w:kern w:val="0"/>
          <w:sz w:val="32"/>
          <w:szCs w:val="32"/>
          <w:lang w:val="zh-CN" w:eastAsia="zh-CN" w:bidi="ar-SA"/>
        </w:rPr>
        <w:t>”退役军人宣讲爱国主义、三线精神进校园</w:t>
      </w:r>
      <w:r>
        <w:rPr>
          <w:rFonts w:ascii="仿宋_GB2312" w:eastAsia="仿宋_GB2312" w:cs="仿宋_GB2312" w:hint="eastAsia"/>
          <w:kern w:val="0"/>
          <w:sz w:val="32"/>
          <w:szCs w:val="32"/>
          <w:lang w:val="zh-CN" w:eastAsia="zh-CN" w:bidi="ar-SA"/>
        </w:rPr>
        <w:t>、清明祭英烈之童画英烈、纪念碑下的思政课等</w:t>
      </w:r>
      <w:r>
        <w:rPr>
          <w:rFonts w:ascii="仿宋_GB2312" w:eastAsia="仿宋_GB2312" w:cs="仿宋_GB2312"/>
          <w:kern w:val="0"/>
          <w:sz w:val="32"/>
          <w:szCs w:val="32"/>
          <w:lang w:val="zh-CN" w:eastAsia="zh-CN" w:bidi="ar-SA"/>
        </w:rPr>
        <w:t>活动</w:t>
      </w:r>
      <w:r>
        <w:rPr>
          <w:rFonts w:ascii="仿宋_GB2312" w:eastAsia="仿宋_GB2312" w:cs="仿宋_GB2312" w:hint="eastAsia"/>
          <w:kern w:val="0"/>
          <w:sz w:val="32"/>
          <w:szCs w:val="32"/>
          <w:lang w:val="zh-CN" w:eastAsia="zh-CN" w:bidi="ar-SA"/>
        </w:rPr>
        <w:t>；</w:t>
      </w:r>
      <w:r>
        <w:rPr>
          <w:rFonts w:ascii="仿宋_GB2312" w:eastAsia="仿宋_GB2312" w:cs="仿宋_GB2312"/>
          <w:kern w:val="0"/>
          <w:sz w:val="32"/>
          <w:szCs w:val="32"/>
          <w:lang w:val="zh-CN" w:eastAsia="zh-CN" w:bidi="ar-SA"/>
        </w:rPr>
        <w:t>二是认真落实现役军人子女、烈士子女、因公牺牲和病故军人子女全市入托入学、高考等方面给予优先和助学等各项教育优待政策；三是组织青少年开展</w:t>
      </w:r>
      <w:r>
        <w:rPr>
          <w:rFonts w:ascii="仿宋_GB2312" w:eastAsia="仿宋_GB2312" w:cs="仿宋_GB2312" w:hint="eastAsia"/>
          <w:kern w:val="0"/>
          <w:sz w:val="32"/>
          <w:szCs w:val="32"/>
          <w:lang w:val="zh-CN" w:eastAsia="zh-CN" w:bidi="ar-SA"/>
        </w:rPr>
        <w:t>各类亲子伴读和家风教育</w:t>
      </w:r>
      <w:r>
        <w:rPr>
          <w:rFonts w:ascii="仿宋_GB2312" w:eastAsia="仿宋_GB2312" w:cs="仿宋_GB2312"/>
          <w:kern w:val="0"/>
          <w:sz w:val="32"/>
          <w:szCs w:val="32"/>
          <w:lang w:val="zh-CN" w:eastAsia="zh-CN" w:bidi="ar-SA"/>
        </w:rPr>
        <w:t>活动。</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（二）项目效益情况。</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仿宋_GB2312" w:eastAsia="仿宋_GB2312" w:cs="仿宋_GB2312"/>
          <w:kern w:val="0"/>
          <w:sz w:val="32"/>
          <w:szCs w:val="32"/>
          <w:lang w:val="zh-CN" w:eastAsia="zh-CN" w:bidi="ar-SA"/>
        </w:rPr>
        <w:t>通过开展对青少年教育关爱与帮扶活动，使其树立正确的人生观与价值观，增强对社会的认同感与归属感，接</w:t>
      </w:r>
      <w:r>
        <w:rPr>
          <w:rFonts w:ascii="仿宋_GB2312" w:eastAsia="仿宋_GB2312" w:cs="仿宋_GB2312" w:hint="eastAsia"/>
          <w:kern w:val="0"/>
          <w:sz w:val="32"/>
          <w:szCs w:val="32"/>
          <w:lang w:val="zh-CN" w:eastAsia="zh-CN" w:bidi="ar-SA"/>
        </w:rPr>
        <w:t>受</w:t>
      </w:r>
      <w:r>
        <w:rPr>
          <w:rFonts w:ascii="仿宋_GB2312" w:eastAsia="仿宋_GB2312" w:cs="仿宋_GB2312"/>
          <w:kern w:val="0"/>
          <w:sz w:val="32"/>
          <w:szCs w:val="32"/>
          <w:lang w:val="zh-CN" w:eastAsia="zh-CN" w:bidi="ar-SA"/>
        </w:rPr>
        <w:t>关爱、帮扶对象满意度90%以上。</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294" w:name="_Toc423644978_WPSOffice_Level2"/>
      <w:bookmarkStart w:id="295" w:name="_Toc669071167_WPSOffice_Level2"/>
      <w:bookmarkStart w:id="296" w:name="_Toc1792838026_WPSOffice_Level2"/>
      <w:bookmarkStart w:id="297" w:name="_Toc1357141235_WPSOffice_Level2"/>
      <w:r>
        <w:rPr>
          <w:rFonts w:ascii="Times New Roman" w:eastAsia="黑体" w:cs="Times New Roman" w:hAnsi="Times New Roman" w:hint="eastAsia"/>
          <w:bCs w:val="0"/>
          <w:sz w:val="32"/>
          <w:szCs w:val="32"/>
          <w:lang w:val="zh-CN" w:eastAsia="zh-CN"/>
        </w:rPr>
        <w:t>五、评价结论及建议</w:t>
      </w:r>
      <w:bookmarkEnd w:id="294"/>
      <w:bookmarkEnd w:id="295"/>
      <w:bookmarkEnd w:id="296"/>
      <w:bookmarkEnd w:id="297"/>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仿宋_GB2312" w:eastAsia="仿宋_GB2312" w:cs="仿宋_GB2312"/>
          <w:kern w:val="0"/>
          <w:sz w:val="32"/>
          <w:szCs w:val="32"/>
          <w:lang w:val="en-US" w:eastAsia="zh-CN" w:bidi="ar-SA"/>
        </w:rPr>
        <w:t>经费使用合规合理，精准保障青少年关爱、思想教育及主题活动开展。资金主要投向思想道德建设与关爱帮扶等核心项目，成本控制良好，资金效益得到有效发挥。</w:t>
      </w:r>
    </w:p>
    <w:p>
      <w:pPr>
        <w:adjustRightInd w:val="0"/>
        <w:snapToGrid w:val="0"/>
        <w:spacing w:line="600" w:lineRule="exact"/>
        <w:ind w:firstLine="720"/>
        <w:rPr>
          <w:rFonts w:ascii="仿宋_GB2312" w:eastAsia="仿宋_GB2312" w:cs="仿宋_GB2312"/>
          <w:kern w:val="0"/>
          <w:sz w:val="32"/>
          <w:szCs w:val="32"/>
          <w:lang w:val="zh-CN" w:eastAsia="zh-CN" w:bidi="ar-SA"/>
        </w:rPr>
      </w:pPr>
    </w:p>
    <w:p>
      <w:pPr>
        <w:adjustRightInd w:val="0"/>
        <w:snapToGrid w:val="0"/>
        <w:spacing w:line="600" w:lineRule="exact"/>
        <w:ind w:firstLine="720"/>
        <w:rPr>
          <w:rFonts w:ascii="仿宋_GB2312" w:eastAsia="仿宋_GB2312" w:cs="仿宋_GB2312" w:hint="eastAsia"/>
          <w:kern w:val="0"/>
          <w:sz w:val="32"/>
          <w:szCs w:val="32"/>
          <w:lang w:val="zh-CN" w:eastAsia="zh-CN" w:bidi="ar-SA"/>
        </w:rPr>
      </w:pPr>
    </w:p>
    <w:p>
      <w:pPr>
        <w:rPr>
          <w:rFonts w:hint="eastAsia"/>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pStyle w:val="38"/>
        <w:tabs>
          <w:tab w:val="left" w:pos="6400"/>
        </w:tabs>
        <w:spacing w:line="600" w:lineRule="exact"/>
        <w:jc w:val="center"/>
        <w:rPr>
          <w:rFonts w:ascii="Times New Roman" w:eastAsia="方正小标宋简体" w:hAnsi="Times New Roman"/>
          <w:color w:val="auto"/>
          <w:kern w:val="2"/>
          <w:sz w:val="40"/>
          <w:szCs w:val="40"/>
        </w:rPr>
      </w:pPr>
      <w:bookmarkStart w:id="298" w:name="_Toc1424237095_WPSOffice_Level2"/>
      <w:bookmarkStart w:id="299" w:name="_Toc888048609_WPSOffice_Level2"/>
      <w:bookmarkStart w:id="300" w:name="_Toc984273734_WPSOffice_Level2"/>
      <w:bookmarkStart w:id="301" w:name="_Toc2043344160_WPSOffice_Level2"/>
      <w:r>
        <w:rPr>
          <w:rFonts w:ascii="Times New Roman" w:eastAsia="方正小标宋简体" w:hAnsi="Times New Roman"/>
          <w:color w:val="auto"/>
          <w:kern w:val="2"/>
          <w:sz w:val="40"/>
          <w:szCs w:val="40"/>
        </w:rPr>
        <w:t>专项预算项目支出绩效自评报告</w:t>
      </w:r>
      <w:bookmarkEnd w:id="298"/>
      <w:bookmarkEnd w:id="299"/>
      <w:bookmarkEnd w:id="300"/>
      <w:bookmarkEnd w:id="301"/>
    </w:p>
    <w:p>
      <w:pPr>
        <w:autoSpaceDE w:val="0"/>
        <w:autoSpaceDN w:val="0"/>
        <w:adjustRightInd w:val="0"/>
        <w:spacing w:line="600" w:lineRule="exact"/>
        <w:jc w:val="center"/>
        <w:rPr>
          <w:rFonts w:ascii="Times New Roman" w:eastAsia="仿宋_GB2312" w:cs="Times New Roman" w:hAnsi="Times New Roman" w:hint="eastAsia"/>
          <w:bCs w:val="0"/>
          <w:kern w:val="0"/>
          <w:sz w:val="24"/>
          <w:szCs w:val="24"/>
          <w:lang w:val="en-US" w:eastAsia="zh-CN"/>
        </w:rPr>
      </w:pPr>
      <w:r>
        <w:rPr>
          <w:rFonts w:ascii="Times New Roman" w:eastAsia="仿宋_GB2312" w:cs="Times New Roman" w:hAnsi="Times New Roman" w:hint="eastAsia"/>
          <w:bCs w:val="0"/>
          <w:kern w:val="0"/>
          <w:sz w:val="24"/>
          <w:szCs w:val="24"/>
          <w:lang w:val="en-US" w:eastAsia="zh-CN"/>
        </w:rPr>
        <w:t>（武警攀枝花支队军史长廊改造经费）</w:t>
      </w:r>
    </w:p>
    <w:p>
      <w:pPr>
        <w:pStyle w:val="38"/>
        <w:tabs>
          <w:tab w:val="left" w:pos="6400"/>
        </w:tabs>
        <w:spacing w:line="600" w:lineRule="exact"/>
        <w:ind w:firstLine="640"/>
        <w:jc w:val="center"/>
        <w:rPr>
          <w:rFonts w:ascii="Times New Roman" w:hAnsi="Times New Roman"/>
          <w:color w:val="auto"/>
          <w:kern w:val="2"/>
          <w:sz w:val="32"/>
          <w:szCs w:val="32"/>
        </w:rPr>
      </w:pPr>
    </w:p>
    <w:p>
      <w:pPr>
        <w:adjustRightInd w:val="0"/>
        <w:snapToGrid w:val="0"/>
        <w:spacing w:line="600" w:lineRule="exact"/>
        <w:ind w:firstLine="720"/>
        <w:rPr>
          <w:rFonts w:ascii="Times New Roman" w:eastAsia="黑体" w:cs="Times New Roman" w:hAnsi="Times New Roman"/>
          <w:bCs w:val="0"/>
          <w:sz w:val="32"/>
          <w:szCs w:val="32"/>
          <w:lang w:val="zh-CN"/>
        </w:rPr>
      </w:pPr>
      <w:bookmarkStart w:id="302" w:name="_Toc1466538252_WPSOffice_Level2"/>
      <w:bookmarkStart w:id="303" w:name="_Toc1603056452_WPSOffice_Level2"/>
      <w:bookmarkStart w:id="304" w:name="_Toc809313538_WPSOffice_Level2"/>
      <w:bookmarkStart w:id="305" w:name="_Toc1076559870_WPSOffice_Level2"/>
      <w:r>
        <w:rPr>
          <w:rFonts w:ascii="Times New Roman" w:eastAsia="黑体" w:cs="Times New Roman" w:hAnsi="Times New Roman"/>
          <w:bCs w:val="0"/>
          <w:sz w:val="32"/>
          <w:szCs w:val="32"/>
          <w:lang w:val="zh-CN"/>
        </w:rPr>
        <w:t>一、项目概况</w:t>
      </w:r>
      <w:bookmarkEnd w:id="302"/>
      <w:bookmarkEnd w:id="303"/>
      <w:bookmarkEnd w:id="304"/>
      <w:bookmarkEnd w:id="305"/>
    </w:p>
    <w:p>
      <w:pPr>
        <w:adjustRightInd w:val="0"/>
        <w:snapToGrid w:val="0"/>
        <w:spacing w:line="600" w:lineRule="exact"/>
        <w:ind w:firstLine="720"/>
        <w:rPr>
          <w:rFonts w:ascii="仿宋_GB2312" w:eastAsia="仿宋_GB2312" w:cs="仿宋_GB2312" w:hint="eastAsia"/>
          <w:kern w:val="0"/>
          <w:sz w:val="32"/>
          <w:szCs w:val="32"/>
          <w:lang w:val="en-US" w:eastAsia="zh-CN" w:bidi="ar-SA"/>
        </w:rPr>
      </w:pPr>
      <w:r>
        <w:rPr>
          <w:rFonts w:ascii="Times New Roman" w:eastAsia="楷体_GB2312" w:cs="Times New Roman" w:hAnsi="Times New Roman"/>
          <w:b/>
          <w:bCs w:val="0"/>
          <w:sz w:val="32"/>
          <w:szCs w:val="32"/>
          <w:lang w:val="zh-CN"/>
        </w:rPr>
        <w:t>（一）项目基本情况。</w:t>
      </w:r>
      <w:r>
        <w:rPr>
          <w:rFonts w:ascii="仿宋_GB2312" w:eastAsia="仿宋_GB2312" w:cs="仿宋_GB2312" w:hint="eastAsia"/>
          <w:kern w:val="0"/>
          <w:sz w:val="32"/>
          <w:szCs w:val="32"/>
          <w:lang w:val="en-US" w:eastAsia="zh-CN" w:bidi="ar-SA"/>
        </w:rPr>
        <w:t>按照市政府领导关于《商请市退役军人事务局改造支队军史长廊的函》（武保〔2019〕22号）的批示要求，市退役军人事务局帮助武警攀枝花支队完成其军史长廊改造。</w:t>
      </w:r>
    </w:p>
    <w:p>
      <w:pPr>
        <w:tabs>
          <w:tab w:val="left" w:pos="6400"/>
        </w:tabs>
        <w:adjustRightInd w:val="0"/>
        <w:snapToGrid w:val="0"/>
        <w:spacing w:line="600" w:lineRule="exact"/>
        <w:ind w:firstLine="720"/>
        <w:rPr>
          <w:rFonts w:ascii="仿宋_GB2312" w:eastAsia="仿宋_GB2312" w:cs="仿宋_GB2312" w:hint="eastAsia"/>
          <w:kern w:val="0"/>
          <w:sz w:val="32"/>
          <w:szCs w:val="32"/>
          <w:lang w:val="en-US" w:eastAsia="zh-CN" w:bidi="ar-SA"/>
        </w:rPr>
      </w:pPr>
      <w:r>
        <w:rPr>
          <w:rFonts w:ascii="Times New Roman" w:eastAsia="楷体_GB2312" w:cs="Times New Roman" w:hAnsi="Times New Roman"/>
          <w:b/>
          <w:bCs w:val="0"/>
          <w:sz w:val="32"/>
          <w:szCs w:val="32"/>
          <w:lang w:val="zh-CN"/>
        </w:rPr>
        <w:t>（二）项目绩效目标。</w:t>
      </w:r>
      <w:r>
        <w:rPr>
          <w:rFonts w:ascii="仿宋_GB2312" w:eastAsia="仿宋_GB2312" w:cs="仿宋_GB2312" w:hint="eastAsia"/>
          <w:kern w:val="0"/>
          <w:sz w:val="32"/>
          <w:szCs w:val="32"/>
          <w:lang w:val="en-US" w:eastAsia="zh-CN" w:bidi="ar-SA"/>
        </w:rPr>
        <w:t>按武警攀枝花支队有关要求顺利完成军史长廊改造。</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b/>
          <w:bCs w:val="0"/>
          <w:sz w:val="32"/>
          <w:szCs w:val="32"/>
          <w:lang w:val="zh-CN"/>
        </w:rPr>
        <w:t>（三）项目自评步骤及方法。</w:t>
      </w:r>
      <w:r>
        <w:rPr>
          <w:rFonts w:ascii="仿宋_GB2312" w:eastAsia="仿宋_GB2312" w:cs="仿宋_GB2312" w:hint="eastAsia"/>
          <w:kern w:val="0"/>
          <w:sz w:val="32"/>
          <w:szCs w:val="32"/>
          <w:lang w:val="zh-CN" w:eastAsia="zh-CN" w:bidi="ar-SA"/>
        </w:rPr>
        <w:t>本次项目自评严格按照政策要求，坚持客观公正、实事求是原则。以项目实施方案、绩效目标、资金管理办法为依据，全面梳理预算文件、台账资料、财务凭证等基础材料，对照绩效指标逐项核验完成情况，坚持定量与定性相结合的评估方法，客观评估项目产出、效益及目标实现度。通过全面总结成效，深查细摆问题，剖析深层原因，提出切实可行的整改措施，整个过程公开透明、客观公正，严格遵守财政资金管理规定，绩效评价结果真实准确。</w:t>
      </w:r>
    </w:p>
    <w:p>
      <w:pPr>
        <w:adjustRightInd w:val="0"/>
        <w:snapToGrid w:val="0"/>
        <w:spacing w:line="600" w:lineRule="exact"/>
        <w:ind w:firstLine="720"/>
        <w:rPr>
          <w:rFonts w:ascii="Times New Roman" w:eastAsia="黑体" w:cs="Times New Roman" w:hAnsi="Times New Roman"/>
          <w:bCs w:val="0"/>
          <w:sz w:val="32"/>
          <w:szCs w:val="32"/>
          <w:lang w:val="zh-CN"/>
        </w:rPr>
      </w:pPr>
      <w:bookmarkStart w:id="306" w:name="_Toc414172087_WPSOffice_Level2"/>
      <w:bookmarkStart w:id="307" w:name="_Toc2074618401_WPSOffice_Level2"/>
      <w:bookmarkStart w:id="308" w:name="_Toc168517743_WPSOffice_Level2"/>
      <w:bookmarkStart w:id="309" w:name="_Toc1897743149_WPSOffice_Level2"/>
      <w:r>
        <w:rPr>
          <w:rFonts w:ascii="Times New Roman" w:eastAsia="黑体" w:cs="Times New Roman" w:hAnsi="Times New Roman"/>
          <w:bCs w:val="0"/>
          <w:sz w:val="32"/>
          <w:szCs w:val="32"/>
          <w:lang w:val="zh-CN"/>
        </w:rPr>
        <w:t>二、项目资金申报及使用情况</w:t>
      </w:r>
      <w:bookmarkEnd w:id="306"/>
      <w:bookmarkEnd w:id="307"/>
      <w:bookmarkEnd w:id="308"/>
      <w:bookmarkEnd w:id="309"/>
    </w:p>
    <w:p>
      <w:pPr>
        <w:adjustRightInd w:val="0"/>
        <w:snapToGrid w:val="0"/>
        <w:spacing w:line="600" w:lineRule="exact"/>
        <w:ind w:firstLine="720"/>
        <w:rPr>
          <w:rFonts w:ascii="Times New Roman" w:eastAsia="楷体_GB2312" w:cs="Times New Roman" w:hAnsi="Times New Roman"/>
          <w:b/>
          <w:bCs w:val="0"/>
          <w:sz w:val="32"/>
          <w:szCs w:val="32"/>
          <w:lang w:val="zh-CN"/>
        </w:rPr>
      </w:pPr>
      <w:r>
        <w:rPr>
          <w:rFonts w:ascii="Times New Roman" w:eastAsia="楷体_GB2312" w:cs="Times New Roman" w:hAnsi="Times New Roman"/>
          <w:b/>
          <w:bCs w:val="0"/>
          <w:sz w:val="32"/>
          <w:szCs w:val="32"/>
          <w:lang w:val="zh-CN"/>
        </w:rPr>
        <w:t>（一）项目资金申报及批复情况。</w:t>
      </w:r>
    </w:p>
    <w:p>
      <w:pPr>
        <w:adjustRightInd w:val="0"/>
        <w:snapToGrid w:val="0"/>
        <w:spacing w:line="600" w:lineRule="exact"/>
        <w:ind w:firstLine="720"/>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en-US" w:eastAsia="zh-CN" w:bidi="ar-SA"/>
        </w:rPr>
        <w:t>2025年度财政部门下达攀财资社〔2025〕112号和攀财资社〔2025〕134号文件，武警攀枝花支队军史长廊改造经费14.01万元。</w:t>
      </w:r>
    </w:p>
    <w:p>
      <w:pPr>
        <w:adjustRightInd w:val="0"/>
        <w:snapToGrid w:val="0"/>
        <w:spacing w:line="600" w:lineRule="exact"/>
        <w:ind w:firstLine="720"/>
        <w:rPr>
          <w:rFonts w:ascii="Times New Roman" w:eastAsia="楷体_GB2312" w:cs="Times New Roman" w:hAnsi="Times New Roman"/>
          <w:b/>
          <w:bCs w:val="0"/>
          <w:sz w:val="32"/>
          <w:szCs w:val="32"/>
          <w:lang w:val="zh-CN"/>
        </w:rPr>
      </w:pPr>
      <w:r>
        <w:rPr>
          <w:rFonts w:ascii="Times New Roman" w:eastAsia="楷体_GB2312" w:cs="Times New Roman" w:hAnsi="Times New Roman"/>
          <w:b/>
          <w:bCs w:val="0"/>
          <w:sz w:val="32"/>
          <w:szCs w:val="32"/>
          <w:lang w:val="zh-CN"/>
        </w:rPr>
        <w:t>（二）资金计划、到位及使用情况</w:t>
      </w:r>
      <w:r>
        <w:rPr>
          <w:rFonts w:ascii="Times New Roman" w:eastAsia="楷体_GB2312" w:cs="Times New Roman" w:hAnsi="Times New Roman" w:hint="eastAsia"/>
          <w:b/>
          <w:bCs w:val="0"/>
          <w:sz w:val="32"/>
          <w:szCs w:val="32"/>
          <w:lang w:val="zh-CN"/>
        </w:rPr>
        <w:t>。</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1</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资金计划。</w:t>
      </w:r>
      <w:r>
        <w:rPr>
          <w:rFonts w:ascii="仿宋_GB2312" w:eastAsia="仿宋_GB2312" w:cs="仿宋_GB2312" w:hint="eastAsia"/>
          <w:kern w:val="0"/>
          <w:sz w:val="32"/>
          <w:szCs w:val="32"/>
          <w:lang w:val="en-US" w:eastAsia="zh-CN" w:bidi="ar-SA"/>
        </w:rPr>
        <w:t>武警攀枝花支队军史长廊改造经费14.01万元</w:t>
      </w:r>
      <w:r>
        <w:rPr>
          <w:rFonts w:ascii="仿宋_GB2312" w:eastAsia="仿宋_GB2312" w:cs="仿宋_GB2312" w:hint="eastAsia"/>
          <w:kern w:val="0"/>
          <w:sz w:val="32"/>
          <w:szCs w:val="32"/>
          <w:lang w:val="zh-CN" w:eastAsia="zh-CN" w:bidi="ar-SA"/>
        </w:rPr>
        <w:t>。资金到位率</w:t>
      </w:r>
      <w:r>
        <w:rPr>
          <w:rFonts w:ascii="仿宋_GB2312" w:eastAsia="仿宋_GB2312" w:cs="仿宋_GB2312" w:hint="eastAsia"/>
          <w:kern w:val="0"/>
          <w:sz w:val="32"/>
          <w:szCs w:val="32"/>
          <w:lang w:val="en-US" w:eastAsia="zh-CN" w:bidi="ar-SA"/>
        </w:rPr>
        <w:t>100%。</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资金到位。市级安排资金</w:t>
      </w:r>
      <w:r>
        <w:rPr>
          <w:rFonts w:ascii="仿宋_GB2312" w:eastAsia="仿宋_GB2312" w:cs="仿宋_GB2312" w:hint="eastAsia"/>
          <w:kern w:val="0"/>
          <w:sz w:val="32"/>
          <w:szCs w:val="32"/>
          <w:lang w:val="en-US" w:eastAsia="zh-CN" w:bidi="ar-SA"/>
        </w:rPr>
        <w:t>14.01万元，资金到位与计划资金完全一致。</w:t>
      </w:r>
    </w:p>
    <w:p>
      <w:pPr>
        <w:adjustRightInd w:val="0"/>
        <w:snapToGrid w:val="0"/>
        <w:spacing w:line="600" w:lineRule="exact"/>
        <w:ind w:firstLine="720"/>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zh-CN" w:eastAsia="zh-CN" w:bidi="ar-SA"/>
        </w:rPr>
        <w:t>3</w:t>
      </w:r>
      <w:r>
        <w:rPr>
          <w:rFonts w:ascii="仿宋_GB2312" w:eastAsia="仿宋_GB2312" w:cs="仿宋_GB2312" w:hint="eastAsia"/>
          <w:kern w:val="0"/>
          <w:sz w:val="32"/>
          <w:szCs w:val="32"/>
          <w:lang w:val="en-US" w:eastAsia="zh-CN" w:bidi="ar-SA"/>
        </w:rPr>
        <w:t>.</w:t>
      </w:r>
      <w:r>
        <w:rPr>
          <w:rFonts w:ascii="仿宋_GB2312" w:eastAsia="仿宋_GB2312" w:cs="仿宋_GB2312" w:hint="eastAsia"/>
          <w:kern w:val="0"/>
          <w:sz w:val="32"/>
          <w:szCs w:val="32"/>
          <w:lang w:val="zh-CN" w:eastAsia="zh-CN" w:bidi="ar-SA"/>
        </w:rPr>
        <w:t>资金使用。</w:t>
      </w:r>
      <w:r>
        <w:rPr>
          <w:rFonts w:ascii="仿宋_GB2312" w:eastAsia="仿宋_GB2312" w:cs="仿宋_GB2312" w:hint="eastAsia"/>
          <w:kern w:val="0"/>
          <w:sz w:val="32"/>
          <w:szCs w:val="32"/>
          <w:lang w:val="en-US" w:eastAsia="zh-CN" w:bidi="ar-SA"/>
        </w:rPr>
        <w:t>2025年按照该项目竣工结算审定金额，完成14.01万元尾款支付。资金支付范围、支付标准、支付进度、支付依据等合规合法、与预算相符，严格按照申报计划全额使用。</w:t>
      </w:r>
    </w:p>
    <w:p>
      <w:pPr>
        <w:adjustRightInd w:val="0"/>
        <w:snapToGrid w:val="0"/>
        <w:spacing w:line="600" w:lineRule="exact"/>
        <w:ind w:firstLine="720"/>
        <w:rPr>
          <w:rFonts w:ascii="Times New Roman" w:eastAsia="楷体_GB2312" w:cs="Times New Roman" w:hAnsi="Times New Roman"/>
          <w:b/>
          <w:bCs w:val="0"/>
          <w:sz w:val="32"/>
          <w:szCs w:val="32"/>
          <w:lang w:val="zh-CN"/>
        </w:rPr>
      </w:pPr>
      <w:r>
        <w:rPr>
          <w:rFonts w:ascii="Times New Roman" w:eastAsia="楷体_GB2312" w:cs="Times New Roman" w:hAnsi="Times New Roman"/>
          <w:b/>
          <w:bCs w:val="0"/>
          <w:sz w:val="32"/>
          <w:szCs w:val="32"/>
          <w:lang w:val="zh-CN"/>
        </w:rPr>
        <w:t>（三）项目财务管理情况。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en-US" w:eastAsia="zh-CN" w:bidi="ar-SA"/>
        </w:rPr>
        <w:t>项目资金严格按照项目支出的范围、用途控制，坚持专款专用，不存在挤占挪用现象，资金支出合法、合理，会计核算符合相关规定。</w:t>
      </w:r>
    </w:p>
    <w:p>
      <w:pPr>
        <w:adjustRightInd w:val="0"/>
        <w:snapToGrid w:val="0"/>
        <w:spacing w:line="600" w:lineRule="exact"/>
        <w:ind w:firstLine="720"/>
        <w:rPr>
          <w:rFonts w:ascii="Times New Roman" w:eastAsia="黑体" w:cs="Times New Roman" w:hAnsi="Times New Roman"/>
          <w:bCs w:val="0"/>
          <w:sz w:val="32"/>
          <w:szCs w:val="32"/>
          <w:lang w:val="zh-CN"/>
        </w:rPr>
      </w:pPr>
      <w:bookmarkStart w:id="310" w:name="_Toc1494063892_WPSOffice_Level2"/>
      <w:bookmarkStart w:id="311" w:name="_Toc769804227_WPSOffice_Level2"/>
      <w:bookmarkStart w:id="312" w:name="_Toc111140580_WPSOffice_Level2"/>
      <w:bookmarkStart w:id="313" w:name="_Toc140471400_WPSOffice_Level2"/>
      <w:r>
        <w:rPr>
          <w:rFonts w:ascii="Times New Roman" w:eastAsia="黑体" w:cs="Times New Roman" w:hAnsi="Times New Roman"/>
          <w:bCs w:val="0"/>
          <w:sz w:val="32"/>
          <w:szCs w:val="32"/>
          <w:lang w:val="zh-CN"/>
        </w:rPr>
        <w:t>三、项目实施及管理情况</w:t>
      </w:r>
      <w:bookmarkEnd w:id="310"/>
      <w:bookmarkEnd w:id="311"/>
      <w:bookmarkEnd w:id="312"/>
      <w:bookmarkEnd w:id="313"/>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Times New Roman" w:eastAsia="楷体_GB2312" w:cs="Times New Roman" w:hAnsi="Times New Roman"/>
          <w:b/>
          <w:bCs w:val="0"/>
          <w:sz w:val="32"/>
          <w:szCs w:val="32"/>
          <w:lang w:val="zh-CN"/>
        </w:rPr>
        <w:t>（一）项目组织架构及实施流程。</w:t>
      </w:r>
      <w:r>
        <w:rPr>
          <w:rFonts w:ascii="仿宋_GB2312" w:eastAsia="仿宋_GB2312" w:cs="仿宋_GB2312" w:hint="eastAsia"/>
          <w:kern w:val="0"/>
          <w:sz w:val="32"/>
          <w:szCs w:val="32"/>
          <w:lang w:val="en-US" w:eastAsia="zh-CN" w:bidi="ar-SA"/>
        </w:rPr>
        <w:t>武警攀枝花支队军史长廊改造经费实行</w:t>
      </w:r>
      <w:r>
        <w:rPr>
          <w:rFonts w:ascii="仿宋_GB2312" w:eastAsia="仿宋_GB2312" w:cs="仿宋_GB2312" w:hint="eastAsia"/>
          <w:kern w:val="0"/>
          <w:sz w:val="32"/>
          <w:szCs w:val="32"/>
          <w:lang w:val="zh-CN" w:eastAsia="zh-CN" w:bidi="ar-SA"/>
        </w:rPr>
        <w:t>“分管领导负责、科室推进、财务全程监督”的运行机制。分管领导负责统筹方向，协调解决实施过程中的重大事项；权益维护科严格按照计划细化分工，压实工作责任，保障项目按节点有序推进；财务人员全流程参与，严格履行预算编制与资金拨付审批职责，加强资金流向全周期监管。整个流程权责清晰、运转顺畅，各环节密切配合，有力保障了项目平稳落地。</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Times New Roman" w:eastAsia="楷体_GB2312" w:cs="Times New Roman" w:hAnsi="Times New Roman" w:hint="eastAsia"/>
          <w:b/>
          <w:bCs w:val="0"/>
          <w:sz w:val="32"/>
          <w:szCs w:val="32"/>
          <w:lang w:val="zh-CN"/>
        </w:rPr>
        <w:t>（二）</w:t>
      </w:r>
      <w:r>
        <w:rPr>
          <w:rFonts w:ascii="Times New Roman" w:eastAsia="楷体_GB2312" w:cs="Times New Roman" w:hAnsi="Times New Roman"/>
          <w:b/>
          <w:bCs w:val="0"/>
          <w:sz w:val="32"/>
          <w:szCs w:val="32"/>
          <w:lang w:val="zh-CN"/>
        </w:rPr>
        <w:t>项目管理情况。</w:t>
      </w:r>
      <w:r>
        <w:rPr>
          <w:rFonts w:ascii="仿宋_GB2312" w:eastAsia="仿宋_GB2312" w:cs="仿宋_GB2312" w:hint="eastAsia"/>
          <w:kern w:val="0"/>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adjustRightInd w:val="0"/>
        <w:snapToGrid w:val="0"/>
        <w:spacing w:line="600" w:lineRule="exact"/>
        <w:ind w:left="0" w:firstLineChars="200" w:firstLine="640"/>
        <w:jc w:val="both"/>
        <w:rPr>
          <w:rFonts w:ascii="仿宋_GB2312" w:eastAsia="仿宋_GB2312" w:cs="仿宋_GB2312" w:hint="eastAsia"/>
          <w:kern w:val="0"/>
          <w:sz w:val="32"/>
          <w:szCs w:val="32"/>
          <w:lang w:val="zh-CN" w:eastAsia="zh-CN" w:bidi="ar-SA"/>
        </w:rPr>
      </w:pPr>
      <w:r>
        <w:rPr>
          <w:rFonts w:ascii="Times New Roman" w:eastAsia="楷体_GB2312" w:cs="Times New Roman" w:hAnsi="Times New Roman"/>
          <w:b/>
          <w:bCs w:val="0"/>
          <w:sz w:val="32"/>
          <w:szCs w:val="32"/>
          <w:lang w:val="zh-CN"/>
        </w:rPr>
        <w:t>（三）项目监管情况。</w:t>
      </w:r>
      <w:r>
        <w:rPr>
          <w:rFonts w:ascii="仿宋_GB2312" w:eastAsia="仿宋_GB2312" w:cs="仿宋_GB2312" w:hint="eastAsia"/>
          <w:kern w:val="0"/>
          <w:sz w:val="32"/>
          <w:szCs w:val="32"/>
          <w:lang w:val="zh-CN" w:eastAsia="zh-CN" w:bidi="ar-SA"/>
        </w:rPr>
        <w:t>严格按照政策规定和资金管理要求实施全过程监管，建立健全审核、复核、监督机制。在对资金核算、支付流程等关键环节层层把关、从严审核，确保资金执行到位、程序合法合规。资金使用过程中，坚持每月开展绩效监控，强化动态跟踪与风险防控，确保资金专款专用、安全规范。同时，加强信息公开，定期公示项目进展和资金使用情况，接受社会监督。</w:t>
      </w:r>
    </w:p>
    <w:p>
      <w:pPr>
        <w:tabs>
          <w:tab w:val="left" w:pos="6400"/>
        </w:tabs>
        <w:adjustRightInd w:val="0"/>
        <w:snapToGrid w:val="0"/>
        <w:spacing w:line="600" w:lineRule="exact"/>
        <w:ind w:firstLine="720"/>
        <w:rPr>
          <w:lang w:val="zh-CN"/>
        </w:rPr>
      </w:pPr>
      <w:bookmarkStart w:id="314" w:name="_Toc529073541_WPSOffice_Level2"/>
      <w:bookmarkStart w:id="315" w:name="_Toc2067325243_WPSOffice_Level2"/>
      <w:bookmarkStart w:id="316" w:name="_Toc273704176_WPSOffice_Level2"/>
      <w:bookmarkStart w:id="317" w:name="_Toc1335192274_WPSOffice_Level2"/>
      <w:r>
        <w:rPr>
          <w:rFonts w:ascii="Times New Roman" w:eastAsia="黑体" w:cs="Times New Roman" w:hAnsi="Times New Roman"/>
          <w:bCs w:val="0"/>
          <w:sz w:val="32"/>
          <w:szCs w:val="32"/>
          <w:lang w:val="zh-CN"/>
        </w:rPr>
        <w:t>四、项目绩效情况</w:t>
      </w:r>
      <w:bookmarkEnd w:id="314"/>
      <w:bookmarkEnd w:id="315"/>
      <w:bookmarkEnd w:id="316"/>
      <w:bookmarkEnd w:id="317"/>
      <w:r>
        <w:rPr>
          <w:lang w:val="zh-CN"/>
        </w:rPr>
        <w:tab/>
      </w:r>
    </w:p>
    <w:p>
      <w:pPr>
        <w:tabs>
          <w:tab w:val="left" w:pos="6400"/>
        </w:tabs>
        <w:adjustRightInd w:val="0"/>
        <w:snapToGrid w:val="0"/>
        <w:spacing w:line="600" w:lineRule="exact"/>
        <w:ind w:left="0" w:firstLineChars="200" w:firstLine="640"/>
        <w:rPr>
          <w:rFonts w:ascii="Times New Roman" w:eastAsia="楷体_GB2312" w:cs="Times New Roman" w:hAnsi="Times New Roman"/>
          <w:b/>
          <w:bCs w:val="0"/>
          <w:sz w:val="32"/>
          <w:szCs w:val="32"/>
          <w:lang w:val="zh-CN"/>
        </w:rPr>
      </w:pPr>
      <w:r>
        <w:rPr>
          <w:rFonts w:ascii="Times New Roman" w:eastAsia="楷体_GB2312" w:cs="Times New Roman" w:hAnsi="Times New Roman"/>
          <w:b/>
          <w:bCs w:val="0"/>
          <w:sz w:val="32"/>
          <w:szCs w:val="32"/>
          <w:lang w:val="zh-CN"/>
        </w:rPr>
        <w:t>（一）项目完成情况。</w:t>
      </w:r>
    </w:p>
    <w:p>
      <w:pPr>
        <w:adjustRightInd w:val="0"/>
        <w:snapToGrid w:val="0"/>
        <w:spacing w:line="600" w:lineRule="exact"/>
        <w:ind w:firstLine="720"/>
        <w:rPr>
          <w:rFonts w:ascii="仿宋_GB2312" w:eastAsia="仿宋_GB2312" w:cs="仿宋_GB2312"/>
          <w:kern w:val="0"/>
          <w:sz w:val="32"/>
          <w:szCs w:val="32"/>
          <w:lang w:val="en-US" w:eastAsia="zh-CN" w:bidi="ar-SA"/>
        </w:rPr>
      </w:pPr>
      <w:r>
        <w:rPr>
          <w:rFonts w:ascii="仿宋_GB2312" w:eastAsia="仿宋_GB2312" w:cs="仿宋_GB2312" w:hint="eastAsia"/>
          <w:kern w:val="0"/>
          <w:sz w:val="32"/>
          <w:szCs w:val="32"/>
          <w:lang w:val="en-US" w:eastAsia="zh-CN" w:bidi="ar-SA"/>
        </w:rPr>
        <w:t>2023年12月完成竣工结算审核，审定金额117</w:t>
      </w:r>
      <w:r>
        <w:rPr>
          <w:rFonts w:ascii="仿宋_GB2312" w:eastAsia="仿宋_GB2312" w:cs="仿宋_GB2312"/>
          <w:kern w:val="0"/>
          <w:sz w:val="32"/>
          <w:szCs w:val="32"/>
          <w:lang w:eastAsia="zh-CN" w:bidi="ar-SA"/>
        </w:rPr>
        <w:t>.</w:t>
      </w:r>
      <w:r>
        <w:rPr>
          <w:rFonts w:ascii="仿宋_GB2312" w:eastAsia="仿宋_GB2312" w:cs="仿宋_GB2312" w:hint="eastAsia"/>
          <w:kern w:val="0"/>
          <w:sz w:val="32"/>
          <w:szCs w:val="32"/>
          <w:lang w:val="en-US" w:eastAsia="zh-CN" w:bidi="ar-SA"/>
        </w:rPr>
        <w:t>31万元。2025年12月完成尾款11</w:t>
      </w:r>
      <w:r>
        <w:rPr>
          <w:rFonts w:ascii="仿宋_GB2312" w:eastAsia="仿宋_GB2312" w:cs="仿宋_GB2312"/>
          <w:kern w:val="0"/>
          <w:sz w:val="32"/>
          <w:szCs w:val="32"/>
          <w:lang w:eastAsia="zh-CN" w:bidi="ar-SA"/>
        </w:rPr>
        <w:t>.</w:t>
      </w:r>
      <w:r>
        <w:rPr>
          <w:rFonts w:ascii="仿宋_GB2312" w:eastAsia="仿宋_GB2312" w:cs="仿宋_GB2312" w:hint="eastAsia"/>
          <w:kern w:val="0"/>
          <w:sz w:val="32"/>
          <w:szCs w:val="32"/>
          <w:lang w:val="en-US" w:eastAsia="zh-CN" w:bidi="ar-SA"/>
        </w:rPr>
        <w:t>11万元及监理费用2.9万元支付。</w:t>
      </w:r>
    </w:p>
    <w:p>
      <w:pPr>
        <w:tabs>
          <w:tab w:val="left" w:pos="6400"/>
        </w:tabs>
        <w:adjustRightInd w:val="0"/>
        <w:snapToGrid w:val="0"/>
        <w:spacing w:line="600" w:lineRule="exact"/>
        <w:ind w:left="0" w:firstLineChars="200" w:firstLine="640"/>
        <w:rPr>
          <w:rFonts w:ascii="Times New Roman" w:eastAsia="楷体_GB2312" w:cs="Times New Roman" w:hAnsi="Times New Roman"/>
          <w:b/>
          <w:bCs w:val="0"/>
          <w:sz w:val="32"/>
          <w:szCs w:val="32"/>
          <w:lang w:val="zh-CN"/>
        </w:rPr>
      </w:pPr>
      <w:r>
        <w:rPr>
          <w:rFonts w:ascii="Times New Roman" w:eastAsia="楷体_GB2312" w:cs="Times New Roman" w:hAnsi="Times New Roman"/>
          <w:b/>
          <w:bCs w:val="0"/>
          <w:sz w:val="32"/>
          <w:szCs w:val="32"/>
          <w:lang w:val="zh-CN"/>
        </w:rPr>
        <w:t>（二）项目效益情况。</w:t>
      </w:r>
    </w:p>
    <w:p>
      <w:pPr>
        <w:adjustRightInd w:val="0"/>
        <w:snapToGrid w:val="0"/>
        <w:spacing w:line="600" w:lineRule="exact"/>
        <w:ind w:firstLine="720"/>
        <w:rPr>
          <w:rFonts w:ascii="仿宋_GB2312" w:eastAsia="仿宋_GB2312" w:cs="仿宋_GB2312"/>
          <w:kern w:val="0"/>
          <w:sz w:val="32"/>
          <w:szCs w:val="32"/>
          <w:lang w:val="en-US" w:eastAsia="zh-CN" w:bidi="ar-SA"/>
        </w:rPr>
      </w:pPr>
      <w:r>
        <w:rPr>
          <w:rFonts w:ascii="仿宋_GB2312" w:eastAsia="仿宋_GB2312" w:cs="仿宋_GB2312" w:hint="eastAsia"/>
          <w:kern w:val="0"/>
          <w:sz w:val="32"/>
          <w:szCs w:val="32"/>
          <w:lang w:val="en-US" w:eastAsia="zh-CN" w:bidi="ar-SA"/>
        </w:rPr>
        <w:t>按照武警攀枝花支队有关要求完成军史长廊改造</w:t>
      </w:r>
      <w:r>
        <w:rPr>
          <w:rFonts w:ascii="仿宋_GB2312" w:eastAsia="仿宋_GB2312" w:cs="仿宋_GB2312"/>
          <w:kern w:val="0"/>
          <w:sz w:val="32"/>
          <w:szCs w:val="32"/>
          <w:lang w:val="en-US" w:eastAsia="zh-CN" w:bidi="ar-SA"/>
        </w:rPr>
        <w:t>。</w:t>
      </w:r>
      <w:r>
        <w:rPr>
          <w:rFonts w:ascii="仿宋_GB2312" w:eastAsia="仿宋_GB2312" w:cs="仿宋_GB2312" w:hint="eastAsia"/>
          <w:kern w:val="0"/>
          <w:sz w:val="32"/>
          <w:szCs w:val="32"/>
          <w:lang w:val="en-US" w:eastAsia="zh-CN" w:bidi="ar-SA"/>
        </w:rPr>
        <w:t>进一步浓厚“双拥”氛围。</w:t>
      </w:r>
    </w:p>
    <w:p>
      <w:pPr>
        <w:adjustRightInd w:val="0"/>
        <w:snapToGrid w:val="0"/>
        <w:spacing w:line="600" w:lineRule="exact"/>
        <w:ind w:firstLine="720"/>
        <w:rPr>
          <w:rFonts w:ascii="Times New Roman" w:eastAsia="黑体" w:cs="Times New Roman" w:hAnsi="Times New Roman"/>
          <w:bCs w:val="0"/>
          <w:sz w:val="32"/>
          <w:szCs w:val="32"/>
          <w:lang w:val="zh-CN"/>
        </w:rPr>
      </w:pPr>
      <w:bookmarkStart w:id="318" w:name="_Toc1994929206_WPSOffice_Level2"/>
      <w:bookmarkStart w:id="319" w:name="_Toc1884666153_WPSOffice_Level2"/>
      <w:bookmarkStart w:id="320" w:name="_Toc1836524816_WPSOffice_Level2"/>
      <w:bookmarkStart w:id="321" w:name="_Toc1036658684_WPSOffice_Level2"/>
      <w:r>
        <w:rPr>
          <w:rFonts w:ascii="Times New Roman" w:eastAsia="黑体" w:cs="Times New Roman" w:hAnsi="Times New Roman"/>
          <w:bCs w:val="0"/>
          <w:sz w:val="32"/>
          <w:szCs w:val="32"/>
          <w:lang w:val="zh-CN"/>
        </w:rPr>
        <w:t>五、评价结论及建议</w:t>
      </w:r>
      <w:bookmarkEnd w:id="318"/>
      <w:bookmarkEnd w:id="319"/>
      <w:bookmarkEnd w:id="320"/>
      <w:bookmarkEnd w:id="321"/>
    </w:p>
    <w:p>
      <w:pPr>
        <w:autoSpaceDE w:val="0"/>
        <w:autoSpaceDN w:val="0"/>
        <w:adjustRightInd w:val="0"/>
        <w:spacing w:line="600" w:lineRule="exact"/>
        <w:ind w:firstLineChars="200" w:firstLine="640"/>
        <w:jc w:val="left"/>
      </w:pPr>
      <w:r>
        <w:rPr>
          <w:rFonts w:ascii="仿宋_GB2312" w:eastAsia="仿宋_GB2312" w:cs="仿宋_GB2312" w:hint="eastAsia"/>
          <w:kern w:val="0"/>
          <w:sz w:val="32"/>
          <w:szCs w:val="32"/>
          <w:lang w:val="en-US" w:eastAsia="zh-CN" w:bidi="ar-SA"/>
        </w:rPr>
        <w:t>武警攀枝花支队军史长廊改造顺利完成，符合要求，达到了预期目标。</w:t>
      </w: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pStyle w:val="38"/>
        <w:spacing w:line="600" w:lineRule="exact"/>
        <w:jc w:val="center"/>
        <w:rPr>
          <w:rFonts w:ascii="Times New Roman" w:eastAsia="方正小标宋简体" w:hAnsi="Times New Roman"/>
          <w:color w:val="auto"/>
          <w:kern w:val="2"/>
          <w:sz w:val="40"/>
          <w:szCs w:val="40"/>
          <w:shd w:val="clear" w:color="auto" w:fill="auto"/>
        </w:rPr>
      </w:pPr>
      <w:bookmarkStart w:id="322" w:name="_Toc109322265_WPSOffice_Level2"/>
      <w:bookmarkStart w:id="323" w:name="_Toc1753971741_WPSOffice_Level2"/>
      <w:bookmarkStart w:id="324" w:name="_Toc1835317584_WPSOffice_Level2"/>
      <w:bookmarkStart w:id="325" w:name="_Toc646709378_WPSOffice_Level2"/>
      <w:r>
        <w:rPr>
          <w:rFonts w:ascii="Times New Roman" w:eastAsia="方正小标宋简体" w:hAnsi="Times New Roman"/>
          <w:color w:val="auto"/>
          <w:kern w:val="2"/>
          <w:sz w:val="40"/>
          <w:szCs w:val="40"/>
          <w:shd w:val="clear" w:color="auto" w:fill="auto"/>
        </w:rPr>
        <w:t>专项预算项目支出绩效自评报告</w:t>
      </w:r>
      <w:bookmarkEnd w:id="322"/>
      <w:bookmarkEnd w:id="323"/>
      <w:bookmarkEnd w:id="324"/>
      <w:bookmarkEnd w:id="325"/>
    </w:p>
    <w:p>
      <w:pPr>
        <w:autoSpaceDE w:val="0"/>
        <w:autoSpaceDN w:val="0"/>
        <w:adjustRightInd w:val="0"/>
        <w:spacing w:line="600" w:lineRule="exact"/>
        <w:jc w:val="center"/>
        <w:rPr>
          <w:rFonts w:ascii="Times New Roman" w:eastAsia="仿宋_GB2312" w:cs="Times New Roman" w:hAnsi="Times New Roman" w:hint="eastAsia"/>
          <w:bCs w:val="0"/>
          <w:kern w:val="0"/>
          <w:sz w:val="24"/>
          <w:szCs w:val="24"/>
          <w:lang w:val="en-US" w:eastAsia="zh-CN"/>
        </w:rPr>
      </w:pPr>
      <w:r>
        <w:rPr>
          <w:rFonts w:ascii="Times New Roman" w:eastAsia="仿宋_GB2312" w:cs="Times New Roman" w:hAnsi="Times New Roman" w:hint="eastAsia"/>
          <w:bCs w:val="0"/>
          <w:kern w:val="0"/>
          <w:sz w:val="24"/>
          <w:szCs w:val="24"/>
          <w:lang w:val="en-US" w:eastAsia="zh-CN"/>
        </w:rPr>
        <w:t>(市级挂职干部补助经费)</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26" w:name="_Toc417628487_WPSOffice_Level2"/>
      <w:bookmarkStart w:id="327" w:name="_Toc117160271_WPSOffice_Level2"/>
      <w:bookmarkStart w:id="328" w:name="_Toc1781925683_WPSOffice_Level2"/>
      <w:bookmarkStart w:id="329" w:name="_Toc1687804906_WPSOffice_Level2"/>
      <w:r>
        <w:rPr>
          <w:rFonts w:ascii="Times New Roman" w:eastAsia="黑体" w:cs="Times New Roman" w:hAnsi="Times New Roman" w:hint="eastAsia"/>
          <w:bCs w:val="0"/>
          <w:sz w:val="32"/>
          <w:szCs w:val="32"/>
          <w:lang w:val="en-US" w:eastAsia="zh-CN"/>
        </w:rPr>
        <w:t>一、</w:t>
      </w:r>
      <w:r>
        <w:rPr>
          <w:rFonts w:ascii="Times New Roman" w:eastAsia="黑体" w:cs="Times New Roman" w:hAnsi="Times New Roman" w:hint="eastAsia"/>
          <w:bCs w:val="0"/>
          <w:sz w:val="32"/>
          <w:szCs w:val="32"/>
          <w:lang w:val="zh-CN" w:eastAsia="zh-CN"/>
        </w:rPr>
        <w:t>项目概况</w:t>
      </w:r>
      <w:bookmarkEnd w:id="326"/>
      <w:bookmarkEnd w:id="327"/>
      <w:bookmarkEnd w:id="328"/>
      <w:bookmarkEnd w:id="329"/>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（一）项目基本情况。</w:t>
      </w:r>
      <w:r>
        <w:rPr>
          <w:rFonts w:ascii="Times New Roman" w:eastAsia="仿宋_GB2312" w:cs="Times New Roman" w:hAnsi="Times New Roman" w:hint="eastAsia"/>
          <w:bCs w:val="0"/>
          <w:kern w:val="0"/>
          <w:sz w:val="32"/>
          <w:szCs w:val="32"/>
          <w:lang w:val="zh-CN" w:eastAsia="zh-CN"/>
        </w:rPr>
        <w:t>本项目</w:t>
      </w:r>
      <w:r>
        <w:rPr>
          <w:rFonts w:ascii="Times New Roman" w:eastAsia="仿宋_GB2312" w:cs="Times New Roman" w:hAnsi="Times New Roman" w:hint="eastAsia"/>
          <w:bCs w:val="0"/>
          <w:kern w:val="0"/>
          <w:sz w:val="32"/>
          <w:szCs w:val="32"/>
          <w:lang w:val="en-US" w:eastAsia="zh-CN"/>
        </w:rPr>
        <w:t>的实施单位为攀枝花市军队离退休干部休养所，</w:t>
      </w:r>
      <w:r>
        <w:rPr>
          <w:rFonts w:ascii="Times New Roman" w:eastAsia="仿宋_GB2312" w:cs="Times New Roman" w:hAnsi="Times New Roman" w:hint="eastAsia"/>
          <w:bCs w:val="0"/>
          <w:kern w:val="0"/>
          <w:sz w:val="32"/>
          <w:szCs w:val="32"/>
          <w:lang w:val="zh-CN" w:eastAsia="zh-CN"/>
        </w:rPr>
        <w:t>主管部门</w:t>
      </w:r>
      <w:r>
        <w:rPr>
          <w:rFonts w:ascii="Times New Roman" w:eastAsia="仿宋_GB2312" w:cs="Times New Roman" w:hAnsi="Times New Roman" w:hint="eastAsia"/>
          <w:bCs w:val="0"/>
          <w:kern w:val="0"/>
          <w:sz w:val="32"/>
          <w:szCs w:val="32"/>
          <w:lang w:val="en-US" w:eastAsia="zh-CN"/>
        </w:rPr>
        <w:t>为攀枝花</w:t>
      </w:r>
      <w:r>
        <w:rPr>
          <w:rFonts w:ascii="Times New Roman" w:eastAsia="仿宋_GB2312" w:cs="Times New Roman" w:hAnsi="Times New Roman" w:hint="eastAsia"/>
          <w:bCs w:val="0"/>
          <w:kern w:val="0"/>
          <w:sz w:val="32"/>
          <w:szCs w:val="32"/>
          <w:lang w:val="zh-CN" w:eastAsia="zh-CN"/>
        </w:rPr>
        <w:t>市退役军人事务局，其在该项目管理中的核心职能是：贯彻落实上级关于挂职干部驻村帮扶工作的各项政策要求，组织开展项目绩效自评工作，及时总结项目实施成效，排查存在问题并整改，保障项目顺利实施，切实发挥补助经费对驻村挂职干部的保障作用，助力驻村帮扶工作落地见效。</w:t>
      </w:r>
      <w:r>
        <w:rPr>
          <w:rFonts w:ascii="Times New Roman" w:eastAsia="仿宋_GB2312" w:cs="Times New Roman" w:hAnsi="Times New Roman" w:hint="eastAsia"/>
          <w:bCs w:val="0"/>
          <w:kern w:val="0"/>
          <w:sz w:val="32"/>
          <w:szCs w:val="32"/>
          <w:lang w:val="en-US" w:eastAsia="zh-CN"/>
        </w:rPr>
        <w:t>本项目依据《四川省驻村第一书记和工作队管理办法》以及市财政部门关于市级专项预算项目申报的相关通知要求，严格按照预算编制规范，开展资金申报工作，确保项目立项合规、申报有据。</w:t>
      </w:r>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（二）项目绩效目标。</w:t>
      </w:r>
      <w:r>
        <w:rPr>
          <w:rFonts w:ascii="Times New Roman" w:eastAsia="仿宋_GB2312" w:cs="Times New Roman" w:hAnsi="Times New Roman" w:hint="eastAsia"/>
          <w:bCs w:val="0"/>
          <w:kern w:val="0"/>
          <w:sz w:val="32"/>
          <w:szCs w:val="32"/>
          <w:lang w:val="zh-CN" w:eastAsia="zh-CN"/>
        </w:rPr>
        <w:t>严格遵循专款专用原则，市级财政安排</w:t>
      </w:r>
      <w:r>
        <w:rPr>
          <w:rFonts w:ascii="Times New Roman" w:eastAsia="仿宋_GB2312" w:cs="Times New Roman" w:hAnsi="Times New Roman" w:hint="eastAsia"/>
          <w:bCs w:val="0"/>
          <w:kern w:val="0"/>
          <w:sz w:val="32"/>
          <w:szCs w:val="32"/>
          <w:lang w:val="en-US" w:eastAsia="zh-CN"/>
        </w:rPr>
        <w:t>的</w:t>
      </w:r>
      <w:r>
        <w:rPr>
          <w:rFonts w:ascii="Times New Roman" w:eastAsia="仿宋_GB2312" w:cs="Times New Roman" w:hAnsi="Times New Roman" w:hint="eastAsia"/>
          <w:bCs w:val="0"/>
          <w:kern w:val="0"/>
          <w:sz w:val="32"/>
          <w:szCs w:val="32"/>
          <w:lang w:val="zh-CN" w:eastAsia="zh-CN"/>
        </w:rPr>
        <w:t>专项</w:t>
      </w:r>
      <w:r>
        <w:rPr>
          <w:rFonts w:ascii="Times New Roman" w:eastAsia="仿宋_GB2312" w:cs="Times New Roman" w:hAnsi="Times New Roman" w:hint="eastAsia"/>
          <w:bCs w:val="0"/>
          <w:kern w:val="0"/>
          <w:sz w:val="32"/>
          <w:szCs w:val="32"/>
          <w:lang w:val="en-US" w:eastAsia="zh-CN"/>
        </w:rPr>
        <w:t>资金</w:t>
      </w:r>
      <w:r>
        <w:rPr>
          <w:rFonts w:ascii="Times New Roman" w:eastAsia="仿宋_GB2312" w:cs="Times New Roman" w:hAnsi="Times New Roman" w:hint="eastAsia"/>
          <w:bCs w:val="0"/>
          <w:kern w:val="0"/>
          <w:sz w:val="32"/>
          <w:szCs w:val="32"/>
          <w:lang w:val="zh-CN" w:eastAsia="zh-CN"/>
        </w:rPr>
        <w:t>28120元，全额用于驻村</w:t>
      </w:r>
      <w:r>
        <w:rPr>
          <w:rFonts w:ascii="Times New Roman" w:eastAsia="仿宋_GB2312" w:cs="Times New Roman" w:hAnsi="Times New Roman" w:hint="eastAsia"/>
          <w:bCs w:val="0"/>
          <w:kern w:val="0"/>
          <w:sz w:val="32"/>
          <w:szCs w:val="32"/>
          <w:lang w:val="en-US" w:eastAsia="zh-CN"/>
        </w:rPr>
        <w:t>工作</w:t>
      </w:r>
      <w:r>
        <w:rPr>
          <w:rFonts w:ascii="Times New Roman" w:eastAsia="仿宋_GB2312" w:cs="Times New Roman" w:hAnsi="Times New Roman" w:hint="eastAsia"/>
          <w:bCs w:val="0"/>
          <w:kern w:val="0"/>
          <w:sz w:val="32"/>
          <w:szCs w:val="32"/>
          <w:lang w:val="zh-CN" w:eastAsia="zh-CN"/>
        </w:rPr>
        <w:t>人员的补助支出，落实</w:t>
      </w:r>
      <w:r>
        <w:rPr>
          <w:rFonts w:ascii="Times New Roman" w:eastAsia="仿宋_GB2312" w:cs="Times New Roman" w:hAnsi="Times New Roman" w:hint="eastAsia"/>
          <w:bCs w:val="0"/>
          <w:kern w:val="0"/>
          <w:sz w:val="32"/>
          <w:szCs w:val="32"/>
          <w:lang w:val="en-US" w:eastAsia="zh-CN"/>
        </w:rPr>
        <w:t>好</w:t>
      </w:r>
      <w:r>
        <w:rPr>
          <w:rFonts w:ascii="Times New Roman" w:eastAsia="仿宋_GB2312" w:cs="Times New Roman" w:hAnsi="Times New Roman" w:hint="eastAsia"/>
          <w:bCs w:val="0"/>
          <w:kern w:val="0"/>
          <w:sz w:val="32"/>
          <w:szCs w:val="32"/>
          <w:lang w:val="zh-CN" w:eastAsia="zh-CN"/>
        </w:rPr>
        <w:t>驻村干部保障政策，推动驻村帮扶工作提质增效。</w:t>
      </w:r>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（三）项目自评步骤及方法。</w:t>
      </w:r>
      <w:r>
        <w:rPr>
          <w:rFonts w:ascii="Times New Roman" w:eastAsia="仿宋_GB2312" w:cs="Times New Roman" w:hAnsi="Times New Roman" w:hint="eastAsia"/>
          <w:bCs w:val="0"/>
          <w:kern w:val="0"/>
          <w:sz w:val="32"/>
          <w:szCs w:val="32"/>
          <w:lang w:val="en-US" w:eastAsia="zh-CN"/>
        </w:rPr>
        <w:t>由攀枝花市军队离退休干部休养所组织开展自评工作</w:t>
      </w:r>
      <w:r>
        <w:rPr>
          <w:rFonts w:ascii="Times New Roman" w:eastAsia="仿宋_GB2312" w:cs="Times New Roman" w:hAnsi="Times New Roman" w:hint="eastAsia"/>
          <w:bCs w:val="0"/>
          <w:kern w:val="0"/>
          <w:sz w:val="32"/>
          <w:szCs w:val="32"/>
          <w:lang w:val="zh-CN" w:eastAsia="zh-CN"/>
        </w:rPr>
        <w:t>，对项目资金使用情况、绩效目标完成情况</w:t>
      </w:r>
      <w:r>
        <w:rPr>
          <w:rFonts w:ascii="Times New Roman" w:eastAsia="仿宋_GB2312" w:cs="Times New Roman" w:hAnsi="Times New Roman" w:hint="eastAsia"/>
          <w:bCs w:val="0"/>
          <w:kern w:val="0"/>
          <w:sz w:val="32"/>
          <w:szCs w:val="32"/>
          <w:lang w:val="en-US" w:eastAsia="zh-CN"/>
        </w:rPr>
        <w:t>等</w:t>
      </w:r>
      <w:r>
        <w:rPr>
          <w:rFonts w:ascii="Times New Roman" w:eastAsia="仿宋_GB2312" w:cs="Times New Roman" w:hAnsi="Times New Roman" w:hint="eastAsia"/>
          <w:bCs w:val="0"/>
          <w:kern w:val="0"/>
          <w:sz w:val="32"/>
          <w:szCs w:val="32"/>
          <w:lang w:val="zh-CN" w:eastAsia="zh-CN"/>
        </w:rPr>
        <w:t>进行全面自查，对项目</w:t>
      </w:r>
      <w:r>
        <w:rPr>
          <w:rFonts w:ascii="Times New Roman" w:eastAsia="仿宋_GB2312" w:cs="Times New Roman" w:hAnsi="Times New Roman" w:hint="eastAsia"/>
          <w:bCs w:val="0"/>
          <w:kern w:val="0"/>
          <w:sz w:val="32"/>
          <w:szCs w:val="32"/>
          <w:lang w:val="en-US" w:eastAsia="zh-CN"/>
        </w:rPr>
        <w:t>执行情况</w:t>
      </w:r>
      <w:r>
        <w:rPr>
          <w:rFonts w:ascii="Times New Roman" w:eastAsia="仿宋_GB2312" w:cs="Times New Roman" w:hAnsi="Times New Roman" w:hint="eastAsia"/>
          <w:bCs w:val="0"/>
          <w:kern w:val="0"/>
          <w:sz w:val="32"/>
          <w:szCs w:val="32"/>
          <w:lang w:val="zh-CN" w:eastAsia="zh-CN"/>
        </w:rPr>
        <w:t>进行客观分析，量化评分，总结项目实施成效，完成报告审核后定稿。采用定量评价与定性评价相结合的比较法，严格遵循绩效评价相关原则，确认项目实施的真实性和有效性，确保自评结果客观公正。</w:t>
      </w:r>
    </w:p>
    <w:p>
      <w:pPr>
        <w:adjustRightInd w:val="0"/>
        <w:snapToGrid w:val="0"/>
        <w:spacing w:line="600" w:lineRule="exact"/>
        <w:ind w:firstLine="720"/>
        <w:rPr>
          <w:rFonts w:ascii="Times New Roman" w:eastAsia="黑体" w:cs="Times New Roman" w:hAnsi="Times New Roman" w:hint="eastAsia"/>
          <w:bCs w:val="0"/>
          <w:sz w:val="32"/>
          <w:szCs w:val="32"/>
          <w:lang w:val="en-US" w:eastAsia="zh-CN"/>
        </w:rPr>
      </w:pPr>
      <w:bookmarkStart w:id="330" w:name="_Toc855819927_WPSOffice_Level2"/>
      <w:bookmarkStart w:id="331" w:name="_Toc1664159685_WPSOffice_Level2"/>
      <w:bookmarkStart w:id="332" w:name="_Toc426433242_WPSOffice_Level2"/>
      <w:bookmarkStart w:id="333" w:name="_Toc787234243_WPSOffice_Level2"/>
      <w:r>
        <w:rPr>
          <w:rFonts w:ascii="Times New Roman" w:eastAsia="黑体" w:cs="Times New Roman" w:hAnsi="Times New Roman" w:hint="eastAsia"/>
          <w:bCs w:val="0"/>
          <w:sz w:val="32"/>
          <w:szCs w:val="32"/>
          <w:lang w:val="en-US" w:eastAsia="zh-CN"/>
        </w:rPr>
        <w:t>二、项目资金申报及使用情况</w:t>
      </w:r>
      <w:bookmarkEnd w:id="330"/>
      <w:bookmarkEnd w:id="331"/>
      <w:bookmarkEnd w:id="332"/>
      <w:bookmarkEnd w:id="333"/>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（一）项目资金申报及批复情况。</w:t>
      </w:r>
      <w:r>
        <w:rPr>
          <w:rFonts w:ascii="Times New Roman" w:eastAsia="仿宋_GB2312" w:cs="Times New Roman" w:hAnsi="Times New Roman" w:hint="eastAsia"/>
          <w:bCs w:val="0"/>
          <w:kern w:val="0"/>
          <w:sz w:val="32"/>
          <w:szCs w:val="32"/>
          <w:lang w:val="zh-CN" w:eastAsia="zh-CN"/>
        </w:rPr>
        <w:t>本项目申报预算金额28120元，市级财政部门预算28120元，与申报预算金额一致，无预算调整情况。</w:t>
      </w:r>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w:t>
      </w:r>
      <w:r>
        <w:rPr>
          <w:rFonts w:ascii="Times New Roman" w:eastAsia="仿宋_GB2312" w:cs="Times New Roman" w:hAnsi="Times New Roman" w:hint="eastAsia"/>
          <w:bCs w:val="0"/>
          <w:kern w:val="0"/>
          <w:sz w:val="32"/>
          <w:szCs w:val="32"/>
          <w:lang w:val="en-US" w:eastAsia="zh-CN"/>
        </w:rPr>
        <w:t>项目资金计划总额28120元，</w:t>
      </w:r>
      <w:r>
        <w:rPr>
          <w:rFonts w:ascii="Times New Roman" w:eastAsia="仿宋_GB2312" w:cs="Times New Roman" w:hAnsi="Times New Roman" w:hint="eastAsia"/>
          <w:bCs w:val="0"/>
          <w:kern w:val="0"/>
          <w:sz w:val="32"/>
          <w:szCs w:val="32"/>
          <w:lang w:val="zh-CN" w:eastAsia="zh-CN"/>
        </w:rPr>
        <w:t>到位</w:t>
      </w:r>
      <w:r>
        <w:rPr>
          <w:rFonts w:ascii="Times New Roman" w:eastAsia="仿宋_GB2312" w:cs="Times New Roman" w:hAnsi="Times New Roman" w:hint="eastAsia"/>
          <w:bCs w:val="0"/>
          <w:kern w:val="0"/>
          <w:sz w:val="32"/>
          <w:szCs w:val="32"/>
          <w:lang w:val="en-US" w:eastAsia="zh-CN"/>
        </w:rPr>
        <w:t>资金</w:t>
      </w:r>
      <w:r>
        <w:rPr>
          <w:rFonts w:ascii="Times New Roman" w:eastAsia="仿宋_GB2312" w:cs="Times New Roman" w:hAnsi="Times New Roman" w:hint="eastAsia"/>
          <w:bCs w:val="0"/>
          <w:kern w:val="0"/>
          <w:sz w:val="32"/>
          <w:szCs w:val="32"/>
          <w:lang w:val="zh-CN" w:eastAsia="zh-CN"/>
        </w:rPr>
        <w:t>总额28120元，实际支出28120元，支出率100%，无资金结余。</w:t>
      </w:r>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（三）项目财务管理情况。</w:t>
      </w:r>
      <w:r>
        <w:rPr>
          <w:rFonts w:ascii="Times New Roman" w:eastAsia="仿宋_GB2312" w:cs="Times New Roman" w:hAnsi="Times New Roman" w:hint="eastAsia"/>
          <w:bCs w:val="0"/>
          <w:kern w:val="0"/>
          <w:sz w:val="32"/>
          <w:szCs w:val="32"/>
          <w:lang w:val="zh-CN" w:eastAsia="zh-CN"/>
        </w:rPr>
        <w:t>本项目实施严格执行《中华人民共和国预算法》《行政单位会计制度》《项目支出绩效评价管理办法》及单位内部财务管理相关规定，建立了完善的资金审批、支付、核算流程，确保项目财务管理规范有序。</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34" w:name="_Toc983596402_WPSOffice_Level2"/>
      <w:bookmarkStart w:id="335" w:name="_Toc1978534880_WPSOffice_Level2"/>
      <w:bookmarkStart w:id="336" w:name="_Toc1612658449_WPSOffice_Level2"/>
      <w:bookmarkStart w:id="337" w:name="_Toc1324281732_WPSOffice_Level2"/>
      <w:r>
        <w:rPr>
          <w:rFonts w:ascii="Times New Roman" w:eastAsia="黑体" w:cs="Times New Roman" w:hAnsi="Times New Roman" w:hint="eastAsia"/>
          <w:bCs w:val="0"/>
          <w:sz w:val="32"/>
          <w:szCs w:val="32"/>
          <w:lang w:val="en-US" w:eastAsia="zh-CN"/>
        </w:rPr>
        <w:t>三、项目实施及管理情况</w:t>
      </w:r>
      <w:bookmarkEnd w:id="334"/>
      <w:bookmarkEnd w:id="335"/>
      <w:bookmarkEnd w:id="336"/>
      <w:bookmarkEnd w:id="337"/>
    </w:p>
    <w:p>
      <w:pPr>
        <w:adjustRightInd w:val="0"/>
        <w:snapToGrid w:val="0"/>
        <w:spacing w:line="600" w:lineRule="exact"/>
        <w:ind w:firstLine="720"/>
        <w:rPr>
          <w:rFonts w:ascii="Times New Roman" w:eastAsia="仿宋_GB2312" w:cs="Times New Roman" w:hAnsi="Times New Roman" w:hint="eastAsia"/>
          <w:bCs w:val="0"/>
          <w:kern w:val="0"/>
          <w:sz w:val="32"/>
          <w:szCs w:val="32"/>
          <w:lang w:val="en-US" w:eastAsia="zh-CN"/>
        </w:rPr>
      </w:pPr>
      <w:r>
        <w:rPr>
          <w:rFonts w:ascii="Times New Roman" w:eastAsia="楷体_GB2312" w:cs="Times New Roman" w:hAnsi="Times New Roman" w:hint="eastAsia"/>
          <w:b/>
          <w:bCs w:val="0"/>
          <w:sz w:val="32"/>
          <w:szCs w:val="32"/>
          <w:lang w:val="zh-CN" w:eastAsia="zh-CN"/>
        </w:rPr>
        <w:t>（一）项目组织架构及实施流程。</w:t>
      </w:r>
      <w:r>
        <w:rPr>
          <w:rFonts w:ascii="Times New Roman" w:eastAsia="仿宋_GB2312" w:cs="Times New Roman" w:hAnsi="Times New Roman" w:hint="eastAsia"/>
          <w:bCs w:val="0"/>
          <w:kern w:val="0"/>
          <w:sz w:val="32"/>
          <w:szCs w:val="32"/>
          <w:lang w:val="zh-CN" w:eastAsia="zh-CN"/>
        </w:rPr>
        <w:t>成立项目实施工作小组，由分管领导任组长，相关</w:t>
      </w:r>
      <w:r>
        <w:rPr>
          <w:rFonts w:ascii="Times New Roman" w:eastAsia="仿宋_GB2312" w:cs="Times New Roman" w:hAnsi="Times New Roman" w:hint="eastAsia"/>
          <w:bCs w:val="0"/>
          <w:kern w:val="0"/>
          <w:sz w:val="32"/>
          <w:szCs w:val="32"/>
          <w:lang w:val="en-US" w:eastAsia="zh-CN"/>
        </w:rPr>
        <w:t>业务人员</w:t>
      </w:r>
      <w:r>
        <w:rPr>
          <w:rFonts w:ascii="Times New Roman" w:eastAsia="仿宋_GB2312" w:cs="Times New Roman" w:hAnsi="Times New Roman" w:hint="eastAsia"/>
          <w:bCs w:val="0"/>
          <w:kern w:val="0"/>
          <w:sz w:val="32"/>
          <w:szCs w:val="32"/>
          <w:lang w:val="zh-CN" w:eastAsia="zh-CN"/>
        </w:rPr>
        <w:t>为成员，形成了“分工明确、责任到人、协同推进”的组织架构，确保项目各项工作有序开展。</w:t>
      </w:r>
      <w:r>
        <w:rPr>
          <w:rFonts w:ascii="Times New Roman" w:eastAsia="仿宋_GB2312" w:cs="Times New Roman" w:hAnsi="Times New Roman" w:hint="eastAsia"/>
          <w:bCs w:val="0"/>
          <w:kern w:val="0"/>
          <w:sz w:val="32"/>
          <w:szCs w:val="32"/>
          <w:lang w:val="en-US" w:eastAsia="zh-CN"/>
        </w:rPr>
        <w:t>对接财政部门，确保资金及时足额到位，通过银行转账方式将补助经费发放至驻村工作人员个人账户，做好发放记录，项目实施完毕后，整理相关资料，开展绩效自评。</w:t>
      </w:r>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（二）项目管理情况。</w:t>
      </w:r>
      <w:r>
        <w:rPr>
          <w:rFonts w:ascii="Times New Roman" w:eastAsia="仿宋_GB2312" w:cs="Times New Roman" w:hAnsi="Times New Roman" w:hint="eastAsia"/>
          <w:bCs w:val="0"/>
          <w:kern w:val="0"/>
          <w:sz w:val="32"/>
          <w:szCs w:val="32"/>
          <w:lang w:val="zh-CN" w:eastAsia="zh-CN"/>
        </w:rPr>
        <w:t>严格执行资金管理办法，规范审批流程，资金发放准确、及时、合规，</w:t>
      </w:r>
      <w:r>
        <w:rPr>
          <w:rFonts w:ascii="Times New Roman" w:eastAsia="仿宋_GB2312" w:cs="Times New Roman" w:hAnsi="Times New Roman" w:hint="eastAsia"/>
          <w:bCs w:val="0"/>
          <w:kern w:val="0"/>
          <w:sz w:val="32"/>
          <w:szCs w:val="32"/>
          <w:lang w:val="en-US" w:eastAsia="zh-CN"/>
        </w:rPr>
        <w:t>未发生违规发放情况</w:t>
      </w:r>
      <w:r>
        <w:rPr>
          <w:rFonts w:ascii="Times New Roman" w:eastAsia="仿宋_GB2312" w:cs="Times New Roman" w:hAnsi="Times New Roman" w:hint="eastAsia"/>
          <w:bCs w:val="0"/>
          <w:kern w:val="0"/>
          <w:sz w:val="32"/>
          <w:szCs w:val="32"/>
          <w:lang w:val="zh-CN" w:eastAsia="zh-CN"/>
        </w:rPr>
        <w:t>。</w:t>
      </w:r>
    </w:p>
    <w:p>
      <w:pPr>
        <w:autoSpaceDE w:val="0"/>
        <w:autoSpaceDN w:val="0"/>
        <w:adjustRightInd w:val="0"/>
        <w:spacing w:line="600" w:lineRule="exact"/>
        <w:ind w:firstLineChars="200" w:firstLine="640"/>
        <w:jc w:val="left"/>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（三）项目监管情况。</w:t>
      </w:r>
      <w:r>
        <w:rPr>
          <w:rFonts w:ascii="Times New Roman" w:eastAsia="仿宋_GB2312" w:cs="Times New Roman" w:hAnsi="Times New Roman" w:hint="eastAsia"/>
          <w:bCs w:val="0"/>
          <w:kern w:val="0"/>
          <w:sz w:val="32"/>
          <w:szCs w:val="32"/>
          <w:lang w:val="zh-CN" w:eastAsia="zh-CN"/>
        </w:rPr>
        <w:t>未发现任何违规违纪问题，有效保障了项目绩效目标的实现，推动补助经费切实发挥保障作用，助力驻村帮扶工作落地见效，确保财政资金使用效益最大化。</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38" w:name="_Toc1336284798_WPSOffice_Level2"/>
      <w:bookmarkStart w:id="339" w:name="_Toc1224411691_WPSOffice_Level2"/>
      <w:bookmarkStart w:id="340" w:name="_Toc159532282_WPSOffice_Level2"/>
      <w:bookmarkStart w:id="341" w:name="_Toc1579681592_WPSOffice_Level2"/>
      <w:r>
        <w:rPr>
          <w:rFonts w:ascii="Times New Roman" w:eastAsia="黑体" w:cs="Times New Roman" w:hAnsi="Times New Roman" w:hint="eastAsia"/>
          <w:bCs w:val="0"/>
          <w:sz w:val="32"/>
          <w:szCs w:val="32"/>
          <w:lang w:val="en-US" w:eastAsia="zh-CN"/>
        </w:rPr>
        <w:t>四、项目绩效情况</w:t>
      </w:r>
      <w:bookmarkEnd w:id="338"/>
      <w:bookmarkEnd w:id="339"/>
      <w:bookmarkEnd w:id="340"/>
      <w:bookmarkEnd w:id="341"/>
      <w:r>
        <w:rPr>
          <w:rFonts w:ascii="Times New Roman" w:eastAsia="黑体" w:cs="Times New Roman" w:hAnsi="Times New Roman" w:hint="eastAsia"/>
          <w:bCs w:val="0"/>
          <w:sz w:val="32"/>
          <w:szCs w:val="32"/>
          <w:lang w:val="zh-CN" w:eastAsia="zh-CN"/>
        </w:rPr>
        <w:tab/>
      </w:r>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（一）项目完成情况。</w:t>
      </w:r>
      <w:r>
        <w:rPr>
          <w:rFonts w:ascii="Times New Roman" w:eastAsia="仿宋_GB2312" w:cs="Times New Roman" w:hAnsi="Times New Roman" w:hint="eastAsia"/>
          <w:bCs w:val="0"/>
          <w:kern w:val="0"/>
          <w:sz w:val="32"/>
          <w:szCs w:val="32"/>
          <w:lang w:val="en-US" w:eastAsia="zh-CN"/>
        </w:rPr>
        <w:t>本项目市级财政部门批复预算资金</w:t>
      </w:r>
      <w:r>
        <w:rPr>
          <w:rFonts w:ascii="Times New Roman" w:eastAsia="仿宋_GB2312" w:cs="Times New Roman" w:hAnsi="Times New Roman" w:hint="eastAsia"/>
          <w:bCs w:val="0"/>
          <w:kern w:val="0"/>
          <w:sz w:val="32"/>
          <w:szCs w:val="32"/>
          <w:lang w:val="zh-CN" w:eastAsia="zh-CN"/>
        </w:rPr>
        <w:t>28120元，实际发放</w:t>
      </w:r>
      <w:r>
        <w:rPr>
          <w:rFonts w:ascii="Times New Roman" w:eastAsia="仿宋_GB2312" w:cs="Times New Roman" w:hAnsi="Times New Roman" w:hint="eastAsia"/>
          <w:bCs w:val="0"/>
          <w:kern w:val="0"/>
          <w:sz w:val="32"/>
          <w:szCs w:val="32"/>
          <w:lang w:val="en-US" w:eastAsia="zh-CN"/>
        </w:rPr>
        <w:t>资金</w:t>
      </w:r>
      <w:r>
        <w:rPr>
          <w:rFonts w:ascii="Times New Roman" w:eastAsia="仿宋_GB2312" w:cs="Times New Roman" w:hAnsi="Times New Roman" w:hint="eastAsia"/>
          <w:bCs w:val="0"/>
          <w:kern w:val="0"/>
          <w:sz w:val="32"/>
          <w:szCs w:val="32"/>
          <w:lang w:val="zh-CN" w:eastAsia="zh-CN"/>
        </w:rPr>
        <w:t>28120元，无结余</w:t>
      </w:r>
      <w:r>
        <w:rPr>
          <w:rFonts w:ascii="Times New Roman" w:eastAsia="仿宋_GB2312" w:cs="Times New Roman" w:hAnsi="Times New Roman" w:hint="eastAsia"/>
          <w:bCs w:val="0"/>
          <w:kern w:val="0"/>
          <w:sz w:val="32"/>
          <w:szCs w:val="32"/>
          <w:lang w:val="en-US" w:eastAsia="zh-CN"/>
        </w:rPr>
        <w:t>资金，预算执行率</w:t>
      </w:r>
      <w:r>
        <w:rPr>
          <w:rFonts w:ascii="Times New Roman" w:eastAsia="仿宋_GB2312" w:cs="Times New Roman" w:hAnsi="Times New Roman" w:hint="eastAsia"/>
          <w:bCs w:val="0"/>
          <w:kern w:val="0"/>
          <w:sz w:val="32"/>
          <w:szCs w:val="32"/>
          <w:lang w:val="zh-CN" w:eastAsia="zh-CN"/>
        </w:rPr>
        <w:t>100%。资金发放严格遵循资金管理办法，审批流程规范、支付依据充分，无违规发放、截留、挤占、挪用等情况，达到预期目标。</w:t>
      </w:r>
    </w:p>
    <w:p>
      <w:pPr>
        <w:adjustRightInd w:val="0"/>
        <w:snapToGrid w:val="0"/>
        <w:spacing w:line="600" w:lineRule="exact"/>
        <w:ind w:firstLine="720"/>
        <w:rPr>
          <w:rFonts w:ascii="Times New Roman" w:eastAsia="仿宋_GB2312" w:cs="Times New Roman" w:hAnsi="Times New Roman" w:hint="eastAsia"/>
          <w:bCs w:val="0"/>
          <w:kern w:val="0"/>
          <w:sz w:val="32"/>
          <w:szCs w:val="32"/>
          <w:lang w:val="en-US" w:eastAsia="zh-CN"/>
        </w:rPr>
      </w:pPr>
      <w:r>
        <w:rPr>
          <w:rFonts w:ascii="Times New Roman" w:eastAsia="楷体_GB2312" w:cs="Times New Roman" w:hAnsi="Times New Roman" w:hint="eastAsia"/>
          <w:b/>
          <w:bCs w:val="0"/>
          <w:sz w:val="32"/>
          <w:szCs w:val="32"/>
          <w:lang w:val="zh-CN" w:eastAsia="zh-CN"/>
        </w:rPr>
        <w:t>（二）项目效益情况。</w:t>
      </w:r>
      <w:r>
        <w:rPr>
          <w:rFonts w:ascii="Times New Roman" w:eastAsia="仿宋_GB2312" w:cs="Times New Roman" w:hAnsi="Times New Roman" w:hint="eastAsia"/>
          <w:bCs w:val="0"/>
          <w:kern w:val="0"/>
          <w:sz w:val="32"/>
          <w:szCs w:val="32"/>
          <w:lang w:val="en-US" w:eastAsia="zh-CN"/>
        </w:rPr>
        <w:t>本项目</w:t>
      </w:r>
      <w:r>
        <w:rPr>
          <w:rFonts w:ascii="Times New Roman" w:eastAsia="仿宋_GB2312" w:cs="Times New Roman" w:hAnsi="Times New Roman" w:hint="eastAsia"/>
          <w:bCs w:val="0"/>
          <w:kern w:val="0"/>
          <w:sz w:val="32"/>
          <w:szCs w:val="32"/>
          <w:lang w:val="zh-CN" w:eastAsia="zh-CN"/>
        </w:rPr>
        <w:t>切实保障了驻村工作人员的合法权益，提升了驻村工作人员的工作积极性和主动性，稳定了驻村工作队伍。通过驻村工作人员开展帮扶工作，助力基层解决民生难题、提升治理水平、推动乡村振兴，拉近了干群关系，增强了群众的获得感、幸福感和安全感。</w:t>
      </w:r>
    </w:p>
    <w:p>
      <w:pPr>
        <w:adjustRightInd w:val="0"/>
        <w:snapToGrid w:val="0"/>
        <w:spacing w:line="600" w:lineRule="exact"/>
        <w:ind w:firstLine="720"/>
        <w:rPr>
          <w:rFonts w:ascii="Times New Roman" w:eastAsia="黑体" w:cs="Times New Roman" w:hAnsi="Times New Roman" w:hint="eastAsia"/>
          <w:bCs w:val="0"/>
          <w:sz w:val="32"/>
          <w:szCs w:val="32"/>
          <w:lang w:val="en-US" w:eastAsia="zh-CN"/>
        </w:rPr>
      </w:pPr>
      <w:bookmarkStart w:id="342" w:name="_Toc80931613_WPSOffice_Level2"/>
      <w:bookmarkStart w:id="343" w:name="_Toc599082505_WPSOffice_Level2"/>
      <w:bookmarkStart w:id="344" w:name="_Toc261648728_WPSOffice_Level2"/>
      <w:bookmarkStart w:id="345" w:name="_Toc40834117_WPSOffice_Level2"/>
      <w:r>
        <w:rPr>
          <w:rFonts w:ascii="Times New Roman" w:eastAsia="黑体" w:cs="Times New Roman" w:hAnsi="Times New Roman" w:hint="eastAsia"/>
          <w:bCs w:val="0"/>
          <w:sz w:val="32"/>
          <w:szCs w:val="32"/>
          <w:lang w:val="en-US" w:eastAsia="zh-CN"/>
        </w:rPr>
        <w:t>五、评价结论及建议</w:t>
      </w:r>
      <w:bookmarkEnd w:id="342"/>
      <w:bookmarkEnd w:id="343"/>
      <w:bookmarkEnd w:id="344"/>
      <w:bookmarkEnd w:id="345"/>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（一）评价结论。</w:t>
      </w:r>
      <w:r>
        <w:rPr>
          <w:rFonts w:ascii="Times New Roman" w:eastAsia="仿宋_GB2312" w:cs="Times New Roman" w:hAnsi="Times New Roman" w:hint="eastAsia"/>
          <w:bCs w:val="0"/>
          <w:kern w:val="0"/>
          <w:sz w:val="32"/>
          <w:szCs w:val="32"/>
          <w:lang w:val="zh-CN" w:eastAsia="zh-CN"/>
        </w:rPr>
        <w:t>本次市级挂职干部补助经费专项预算项目支出绩效自评综合得分</w:t>
      </w:r>
      <w:r>
        <w:rPr>
          <w:rFonts w:ascii="Times New Roman" w:eastAsia="仿宋_GB2312" w:cs="Times New Roman" w:hAnsi="Times New Roman" w:hint="eastAsia"/>
          <w:bCs w:val="0"/>
          <w:kern w:val="0"/>
          <w:sz w:val="32"/>
          <w:szCs w:val="32"/>
          <w:lang w:val="en-US" w:eastAsia="zh-CN"/>
        </w:rPr>
        <w:t>95</w:t>
      </w:r>
      <w:r>
        <w:rPr>
          <w:rFonts w:ascii="Times New Roman" w:eastAsia="仿宋_GB2312" w:cs="Times New Roman" w:hAnsi="Times New Roman" w:hint="eastAsia"/>
          <w:bCs w:val="0"/>
          <w:kern w:val="0"/>
          <w:sz w:val="32"/>
          <w:szCs w:val="32"/>
          <w:lang w:val="zh-CN" w:eastAsia="zh-CN"/>
        </w:rPr>
        <w:t>分。本项目立项合规、依据充分，绩效目标设定科学合理，项目资金申报、批复及使用规范，切实发挥了补助经费对驻村工作人员的保障作用，推动了驻村帮扶工作有序开展，达到了项目实施的预期目的，符合相关政策要求。</w:t>
      </w:r>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（二）存在的问题。</w:t>
      </w:r>
      <w:r>
        <w:rPr>
          <w:rFonts w:ascii="Times New Roman" w:eastAsia="仿宋_GB2312" w:cs="Times New Roman" w:hAnsi="Times New Roman" w:hint="eastAsia"/>
          <w:bCs w:val="0"/>
          <w:kern w:val="0"/>
          <w:sz w:val="32"/>
          <w:szCs w:val="32"/>
          <w:lang w:val="zh-CN" w:eastAsia="zh-CN"/>
        </w:rPr>
        <w:t>绩效目标细化程度有待提升，虽然项目设定了量化、细化的绩效目标，但部分效益类目标的量化指标不够具体，难以更精准地衡量项目的长远效益。</w:t>
      </w:r>
    </w:p>
    <w:p>
      <w:pPr>
        <w:adjustRightInd w:val="0"/>
        <w:snapToGrid w:val="0"/>
        <w:spacing w:line="600" w:lineRule="exact"/>
        <w:ind w:firstLine="720"/>
        <w:rPr>
          <w:rFonts w:ascii="Times New Roman" w:eastAsia="仿宋_GB2312" w:cs="Times New Roman" w:hAnsi="Times New Roman" w:hint="eastAsia"/>
          <w:bCs w:val="0"/>
          <w:kern w:val="0"/>
          <w:sz w:val="32"/>
          <w:szCs w:val="32"/>
          <w:lang w:val="zh-CN" w:eastAsia="zh-CN"/>
        </w:rPr>
      </w:pPr>
      <w:r>
        <w:rPr>
          <w:rFonts w:ascii="Times New Roman" w:eastAsia="楷体_GB2312" w:cs="Times New Roman" w:hAnsi="Times New Roman" w:hint="eastAsia"/>
          <w:b/>
          <w:bCs w:val="0"/>
          <w:sz w:val="32"/>
          <w:szCs w:val="32"/>
          <w:lang w:val="zh-CN" w:eastAsia="zh-CN"/>
        </w:rPr>
        <w:t>（三）相关建议。</w:t>
      </w:r>
      <w:r>
        <w:rPr>
          <w:rFonts w:ascii="Times New Roman" w:eastAsia="仿宋_GB2312" w:cs="Times New Roman" w:hAnsi="Times New Roman" w:hint="eastAsia"/>
          <w:bCs w:val="0"/>
          <w:kern w:val="0"/>
          <w:sz w:val="32"/>
          <w:szCs w:val="32"/>
          <w:lang w:val="zh-CN" w:eastAsia="zh-CN"/>
        </w:rPr>
        <w:t xml:space="preserve"> </w:t>
      </w:r>
      <w:r>
        <w:rPr>
          <w:rFonts w:ascii="Times New Roman" w:eastAsia="仿宋_GB2312" w:cs="Times New Roman" w:hAnsi="Times New Roman" w:hint="eastAsia"/>
          <w:bCs w:val="0"/>
          <w:kern w:val="0"/>
          <w:sz w:val="32"/>
          <w:szCs w:val="32"/>
          <w:lang w:val="en-US" w:eastAsia="zh-CN"/>
        </w:rPr>
        <w:t>进一步</w:t>
      </w:r>
      <w:r>
        <w:rPr>
          <w:rFonts w:ascii="Times New Roman" w:eastAsia="仿宋_GB2312" w:cs="Times New Roman" w:hAnsi="Times New Roman" w:hint="eastAsia"/>
          <w:bCs w:val="0"/>
          <w:kern w:val="0"/>
          <w:sz w:val="32"/>
          <w:szCs w:val="32"/>
          <w:lang w:val="zh-CN" w:eastAsia="zh-CN"/>
        </w:rPr>
        <w:t>细化完善绩效目标，结合项目实施实际及长远效益，进一步细化绩效目标，尤其是效益类目标的量化指标，明确具体的衡量标准、计算方法，增强绩效目标的可操作性和可衡量性，确保绩效目标更贴合项目实施需求，更精准地反映项目实施成效，符合绩效评价指标体系相关要求，为后续绩效评价工作提供更清晰的依据。</w:t>
      </w:r>
    </w:p>
    <w:p>
      <w:pPr>
        <w:autoSpaceDE w:val="0"/>
        <w:autoSpaceDN w:val="0"/>
        <w:adjustRightInd w:val="0"/>
        <w:spacing w:line="600" w:lineRule="exact"/>
        <w:ind w:firstLineChars="200" w:firstLine="640"/>
        <w:jc w:val="left"/>
        <w:rPr>
          <w:rFonts w:ascii="Times New Roman" w:eastAsia="仿宋_GB2312" w:cs="Times New Roman" w:hAnsi="Times New Roman" w:hint="eastAsia"/>
          <w:bCs w:val="0"/>
          <w:kern w:val="0"/>
          <w:sz w:val="32"/>
          <w:szCs w:val="32"/>
          <w:lang w:val="en-US" w:eastAsia="zh-CN"/>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pStyle w:val="38"/>
        <w:spacing w:line="600" w:lineRule="exact"/>
        <w:jc w:val="center"/>
        <w:rPr>
          <w:rFonts w:ascii="Times New Roman" w:eastAsia="方正小标宋简体" w:hAnsi="Times New Roman"/>
          <w:color w:val="auto"/>
          <w:kern w:val="2"/>
          <w:sz w:val="40"/>
          <w:szCs w:val="40"/>
        </w:rPr>
      </w:pPr>
      <w:bookmarkStart w:id="346" w:name="_Toc371840501_WPSOffice_Level2"/>
      <w:bookmarkStart w:id="347" w:name="_Toc572953317_WPSOffice_Level2"/>
      <w:bookmarkStart w:id="348" w:name="_Toc1627618051_WPSOffice_Level2"/>
      <w:bookmarkStart w:id="349" w:name="_Toc1252124619_WPSOffice_Level2"/>
      <w:r>
        <w:rPr>
          <w:rFonts w:ascii="Times New Roman" w:eastAsia="方正小标宋简体" w:hAnsi="Times New Roman"/>
          <w:color w:val="auto"/>
          <w:kern w:val="2"/>
          <w:sz w:val="40"/>
          <w:szCs w:val="40"/>
        </w:rPr>
        <w:t>专项预算项目支出绩效自评报告</w:t>
      </w:r>
      <w:bookmarkEnd w:id="346"/>
      <w:bookmarkEnd w:id="347"/>
      <w:bookmarkEnd w:id="348"/>
      <w:bookmarkEnd w:id="349"/>
    </w:p>
    <w:p>
      <w:pPr>
        <w:autoSpaceDE w:val="0"/>
        <w:autoSpaceDN w:val="0"/>
        <w:adjustRightInd w:val="0"/>
        <w:spacing w:line="600" w:lineRule="exact"/>
        <w:jc w:val="center"/>
        <w:rPr>
          <w:rFonts w:ascii="Times New Roman" w:eastAsia="仿宋_GB2312" w:cs="Times New Roman" w:hAnsi="Times New Roman" w:hint="eastAsia"/>
          <w:bCs w:val="0"/>
          <w:kern w:val="0"/>
          <w:sz w:val="24"/>
          <w:szCs w:val="24"/>
          <w:lang w:val="en-US" w:eastAsia="zh-CN"/>
        </w:rPr>
      </w:pPr>
      <w:r>
        <w:rPr>
          <w:rFonts w:hint="eastAsia"/>
          <w:kern w:val="0"/>
          <w:sz w:val="24"/>
          <w:szCs w:val="24"/>
          <w:lang w:val="en-US" w:eastAsia="zh-CN"/>
        </w:rPr>
        <w:t>（</w:t>
      </w:r>
      <w:r>
        <w:rPr>
          <w:rFonts w:ascii="Times New Roman" w:eastAsia="仿宋_GB2312" w:cs="Times New Roman" w:hAnsi="Times New Roman" w:hint="eastAsia"/>
          <w:bCs w:val="0"/>
          <w:kern w:val="0"/>
          <w:sz w:val="24"/>
          <w:szCs w:val="24"/>
          <w:lang w:val="en-US" w:eastAsia="zh-CN"/>
        </w:rPr>
        <w:t>过往部队接待及伙食补贴）</w:t>
      </w:r>
    </w:p>
    <w:p>
      <w:pPr>
        <w:pStyle w:val="38"/>
        <w:spacing w:line="600" w:lineRule="exact"/>
        <w:ind w:firstLine="640"/>
        <w:jc w:val="center"/>
        <w:rPr>
          <w:rFonts w:ascii="Times New Roman" w:hAnsi="Times New Roman"/>
          <w:color w:val="auto"/>
          <w:kern w:val="2"/>
          <w:sz w:val="32"/>
          <w:szCs w:val="32"/>
        </w:rPr>
      </w:pP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50" w:name="_Toc470113064_WPSOffice_Level2"/>
      <w:bookmarkStart w:id="351" w:name="_Toc189028708_WPSOffice_Level2"/>
      <w:bookmarkStart w:id="352" w:name="_Toc156596321_WPSOffice_Level2"/>
      <w:bookmarkStart w:id="353" w:name="_Toc126433683_WPSOffice_Level2"/>
      <w:r>
        <w:rPr>
          <w:rFonts w:ascii="Times New Roman" w:eastAsia="黑体" w:cs="Times New Roman" w:hAnsi="Times New Roman" w:hint="eastAsia"/>
          <w:bCs w:val="0"/>
          <w:sz w:val="32"/>
          <w:szCs w:val="32"/>
          <w:lang w:val="zh-CN" w:eastAsia="zh-CN"/>
        </w:rPr>
        <w:t>一、项目概况</w:t>
      </w:r>
      <w:bookmarkEnd w:id="350"/>
      <w:bookmarkEnd w:id="351"/>
      <w:bookmarkEnd w:id="352"/>
      <w:bookmarkEnd w:id="353"/>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仿宋_GB2312" w:hint="eastAsia"/>
          <w:kern w:val="0"/>
          <w:sz w:val="32"/>
          <w:szCs w:val="32"/>
          <w:lang w:val="zh-CN" w:eastAsia="zh-CN" w:bidi="ar-SA"/>
        </w:rPr>
        <w:t>自1970年7月攀枝花市军供站成立以来，根据《军用饮食供应站供水站管理办法》、《军用饮食供应工作正规化建设规定》要求，市军供站需要此项资金来完成对过往部队、预备役人员和支前民兵民工，集结入伍的新兵、退役士兵等提供饮食饮水、亟需物资供应或代购、临时休整和住宿、协助医疗救护等服务军供保障任务，以优质、快速、准确、安全、保密、持续的工作要求配合完成各项军事行动。</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（二）项目绩效目标。</w:t>
      </w:r>
      <w:r>
        <w:rPr>
          <w:rFonts w:ascii="仿宋_GB2312" w:eastAsia="仿宋_GB2312" w:cs="仿宋_GB2312" w:hint="eastAsia"/>
          <w:kern w:val="0"/>
          <w:sz w:val="32"/>
          <w:szCs w:val="32"/>
          <w:lang w:val="zh-CN" w:eastAsia="zh-CN" w:bidi="ar-SA"/>
        </w:rPr>
        <w:t>1.项目主要内容。保障对过往部队官兵、入伍新兵、退伍老兵和支前民兵民工等运输途中的接待供应工作。2.项目实现的具体绩效目标。按照接待每人次不超过</w:t>
      </w:r>
      <w:r>
        <w:rPr>
          <w:rFonts w:ascii="仿宋_GB2312" w:eastAsia="仿宋_GB2312" w:cs="仿宋_GB2312" w:hint="eastAsia"/>
          <w:kern w:val="0"/>
          <w:sz w:val="32"/>
          <w:szCs w:val="32"/>
          <w:lang w:val="en-US" w:eastAsia="zh-CN" w:bidi="ar-SA"/>
        </w:rPr>
        <w:t>20</w:t>
      </w:r>
      <w:r>
        <w:rPr>
          <w:rFonts w:ascii="仿宋_GB2312" w:eastAsia="仿宋_GB2312" w:cs="仿宋_GB2312" w:hint="eastAsia"/>
          <w:kern w:val="0"/>
          <w:sz w:val="32"/>
          <w:szCs w:val="32"/>
          <w:lang w:val="zh-CN" w:eastAsia="zh-CN" w:bidi="ar-SA"/>
        </w:rPr>
        <w:t>元的标准为部队提供伙食补助，并支付接待部队期间采购的耗材和设备及设备维护，以及产生的水电、物业、人工等费用。3.分析评价申报内容。项目资金在使用过程中，申报内容与具体实施内容相符，申报目标合理可行。</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（三）项目自评步骤及方法。</w:t>
      </w:r>
      <w:r>
        <w:rPr>
          <w:rFonts w:ascii="仿宋_GB2312" w:eastAsia="仿宋_GB2312" w:cs="仿宋_GB2312" w:hint="eastAsia"/>
          <w:kern w:val="0"/>
          <w:sz w:val="32"/>
          <w:szCs w:val="32"/>
          <w:lang w:val="zh-CN" w:eastAsia="zh-CN" w:bidi="ar-SA"/>
        </w:rPr>
        <w:t>我单位通过实地调研、查阅资料、访谈等方式收集项目的相关资料，参照相关标准、规范，对资金的合规性、到位率、项目完成数量、质量以及社会效益、服务对象满意度等方面进行自评。</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54" w:name="_Toc892655632_WPSOffice_Level2"/>
      <w:bookmarkStart w:id="355" w:name="_Toc405497460_WPSOffice_Level2"/>
      <w:bookmarkStart w:id="356" w:name="_Toc168055999_WPSOffice_Level2"/>
      <w:bookmarkStart w:id="357" w:name="_Toc1560573076_WPSOffice_Level2"/>
      <w:r>
        <w:rPr>
          <w:rFonts w:ascii="Times New Roman" w:eastAsia="黑体" w:cs="Times New Roman" w:hAnsi="Times New Roman" w:hint="eastAsia"/>
          <w:bCs w:val="0"/>
          <w:sz w:val="32"/>
          <w:szCs w:val="32"/>
          <w:lang w:val="zh-CN" w:eastAsia="zh-CN"/>
        </w:rPr>
        <w:t>二、项目资金申报及使用情况</w:t>
      </w:r>
      <w:bookmarkEnd w:id="354"/>
      <w:bookmarkEnd w:id="355"/>
      <w:bookmarkEnd w:id="356"/>
      <w:bookmarkEnd w:id="357"/>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（一）项目资金申报及批复情况。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市军供站严格按照政策申报资金，申报内容与实际相符，申报目标合理可行。市财政局及时进行了批复及预算下达。</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1．资金计划。</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该项目属于市财政拨款资金，结合近年来项目支付情况和工作安排做出合理计划，上报市财政。</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2．资金到位。</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资金到位率100%，资金到位与计划资金完全一致。</w:t>
      </w:r>
    </w:p>
    <w:p>
      <w:pPr>
        <w:adjustRightInd w:val="0"/>
        <w:snapToGrid w:val="0"/>
        <w:spacing w:line="600" w:lineRule="exact"/>
        <w:ind w:firstLine="720"/>
        <w:rPr>
          <w:rFonts w:ascii="仿宋_GB2312" w:eastAsia="仿宋_GB2312" w:cs="仿宋_GB2312" w:hint="eastAsia"/>
          <w:kern w:val="0"/>
          <w:sz w:val="32"/>
          <w:szCs w:val="32"/>
          <w:lang w:val="en-US" w:eastAsia="zh-CN" w:bidi="ar-SA"/>
        </w:rPr>
      </w:pPr>
      <w:r>
        <w:rPr>
          <w:rFonts w:ascii="仿宋_GB2312" w:eastAsia="仿宋_GB2312" w:cs="仿宋_GB2312" w:hint="eastAsia"/>
          <w:kern w:val="0"/>
          <w:sz w:val="32"/>
          <w:szCs w:val="32"/>
          <w:lang w:val="zh-CN" w:eastAsia="zh-CN" w:bidi="ar-SA"/>
        </w:rPr>
        <w:t>3．资金使用。</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202</w:t>
      </w:r>
      <w:r>
        <w:rPr>
          <w:rFonts w:ascii="仿宋_GB2312" w:eastAsia="仿宋_GB2312" w:cs="仿宋_GB2312" w:hint="eastAsia"/>
          <w:kern w:val="0"/>
          <w:sz w:val="32"/>
          <w:szCs w:val="32"/>
          <w:lang w:val="en-US" w:eastAsia="zh-CN" w:bidi="ar-SA"/>
        </w:rPr>
        <w:t>5</w:t>
      </w:r>
      <w:r>
        <w:rPr>
          <w:rFonts w:ascii="仿宋_GB2312" w:eastAsia="仿宋_GB2312" w:cs="仿宋_GB2312" w:hint="eastAsia"/>
          <w:kern w:val="0"/>
          <w:sz w:val="32"/>
          <w:szCs w:val="32"/>
          <w:lang w:val="zh-CN" w:eastAsia="zh-CN" w:bidi="ar-SA"/>
        </w:rPr>
        <w:t>年度</w:t>
      </w:r>
      <w:r>
        <w:rPr>
          <w:rFonts w:ascii="仿宋_GB2312" w:eastAsia="仿宋_GB2312" w:cs="仿宋_GB2312" w:hint="eastAsia"/>
          <w:kern w:val="0"/>
          <w:sz w:val="32"/>
          <w:szCs w:val="32"/>
          <w:lang w:val="en-US" w:eastAsia="zh-CN" w:bidi="ar-SA"/>
        </w:rPr>
        <w:t>过往部队接待及伙食补贴</w:t>
      </w:r>
      <w:r>
        <w:rPr>
          <w:rFonts w:ascii="仿宋_GB2312" w:eastAsia="仿宋_GB2312" w:cs="仿宋_GB2312" w:hint="eastAsia"/>
          <w:kern w:val="0"/>
          <w:sz w:val="32"/>
          <w:szCs w:val="32"/>
          <w:lang w:val="zh-CN" w:eastAsia="zh-CN" w:bidi="ar-SA"/>
        </w:rPr>
        <w:t>支出</w:t>
      </w:r>
      <w:r>
        <w:rPr>
          <w:rFonts w:ascii="仿宋_GB2312" w:eastAsia="仿宋_GB2312" w:cs="仿宋_GB2312" w:hint="eastAsia"/>
          <w:kern w:val="0"/>
          <w:sz w:val="32"/>
          <w:szCs w:val="32"/>
          <w:lang w:val="en-US" w:eastAsia="zh-CN" w:bidi="ar-SA"/>
        </w:rPr>
        <w:t>20</w:t>
      </w:r>
      <w:r>
        <w:rPr>
          <w:rFonts w:ascii="仿宋_GB2312" w:eastAsia="仿宋_GB2312" w:cs="仿宋_GB2312" w:hint="eastAsia"/>
          <w:kern w:val="0"/>
          <w:sz w:val="32"/>
          <w:szCs w:val="32"/>
          <w:lang w:val="zh-CN" w:eastAsia="zh-CN" w:bidi="ar-SA"/>
        </w:rPr>
        <w:t>万元，资金支付范围、支付标准、支付进度、支付依据等合规合法、与预算相符，无违规问题。单位财务管理制度健全，严格执行财务管理制度，账务处理及时，会计核算规范等。</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（三）项目财务管理情况。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项目资金严格按照项目支出的范围、用途控制，坚持专款专用，不存在挤占挪用现象，资金支出合法、合理，会计核算符合相关规定。</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58" w:name="_Toc1904118832_WPSOffice_Level2"/>
      <w:bookmarkStart w:id="359" w:name="_Toc526884741_WPSOffice_Level2"/>
      <w:bookmarkStart w:id="360" w:name="_Toc1234634937_WPSOffice_Level2"/>
      <w:bookmarkStart w:id="361" w:name="_Toc1833583243_WPSOffice_Level2"/>
      <w:r>
        <w:rPr>
          <w:rFonts w:ascii="Times New Roman" w:eastAsia="黑体" w:cs="Times New Roman" w:hAnsi="Times New Roman" w:hint="eastAsia"/>
          <w:bCs w:val="0"/>
          <w:sz w:val="32"/>
          <w:szCs w:val="32"/>
          <w:lang w:val="zh-CN" w:eastAsia="zh-CN"/>
        </w:rPr>
        <w:t>三、项目实施及管理情况</w:t>
      </w:r>
      <w:bookmarkEnd w:id="358"/>
      <w:bookmarkEnd w:id="359"/>
      <w:bookmarkEnd w:id="360"/>
      <w:bookmarkEnd w:id="361"/>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过往部队接待及伙食补贴项目，由单位领导组织业务科室开展具体工作，为加强项目资金管理，制订了资金管理制度，确保了项目资金的安全高效使用。</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（一）项目组织架构及实施流程。</w:t>
      </w:r>
      <w:r>
        <w:rPr>
          <w:rFonts w:ascii="仿宋_GB2312" w:eastAsia="仿宋_GB2312" w:cs="仿宋_GB2312" w:hint="eastAsia"/>
          <w:kern w:val="0"/>
          <w:sz w:val="32"/>
          <w:szCs w:val="32"/>
          <w:lang w:val="zh-CN" w:eastAsia="zh-CN" w:bidi="ar-SA"/>
        </w:rPr>
        <w:t>过往部队接待及伙食补贴项目，由单位领导组织业务科室开展具体工作，财务室把控资金使用范围。</w:t>
      </w:r>
    </w:p>
    <w:p>
      <w:pPr>
        <w:adjustRightInd w:val="0"/>
        <w:snapToGrid w:val="0"/>
        <w:spacing w:line="600" w:lineRule="exact"/>
        <w:ind w:firstLine="720"/>
        <w:rPr>
          <w:rFonts w:ascii="仿宋_GB2312" w:eastAsia="仿宋_GB2312" w:cs="仿宋_GB2312"/>
          <w:kern w:val="0"/>
          <w:sz w:val="32"/>
          <w:szCs w:val="32"/>
          <w:lang w:val="zh-CN" w:eastAsia="zh-CN" w:bidi="ar-SA"/>
        </w:rPr>
      </w:pPr>
      <w:r>
        <w:rPr>
          <w:rFonts w:ascii="Times New Roman" w:eastAsia="楷体_GB2312" w:cs="Times New Roman" w:hAnsi="Times New Roman" w:hint="eastAsia"/>
          <w:b/>
          <w:bCs w:val="0"/>
          <w:sz w:val="32"/>
          <w:szCs w:val="32"/>
          <w:lang w:val="zh-CN" w:eastAsia="zh-CN"/>
        </w:rPr>
        <w:t>（二）项目管理情况。</w:t>
      </w:r>
      <w:r>
        <w:rPr>
          <w:rFonts w:ascii="仿宋_GB2312" w:eastAsia="仿宋_GB2312" w:cs="仿宋_GB2312" w:hint="eastAsia"/>
          <w:kern w:val="0"/>
          <w:sz w:val="32"/>
          <w:szCs w:val="32"/>
          <w:lang w:val="zh-CN" w:eastAsia="zh-CN" w:bidi="ar-SA"/>
        </w:rPr>
        <w:t>项目实施严格遵循事前筹谋、事中管控、事后复盘的原则。实施前，细化方案、分解任务，扎实做好各项筹备准备；中期，严格对标计划，加强过程管控、做好资料归集与动态跟踪；后期，及时开展自查与总结评估工作，规范完善档案归集归档。</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Times New Roman" w:eastAsia="楷体_GB2312" w:cs="Times New Roman" w:hAnsi="Times New Roman" w:hint="eastAsia"/>
          <w:b/>
          <w:bCs w:val="0"/>
          <w:sz w:val="32"/>
          <w:szCs w:val="32"/>
          <w:lang w:val="zh-CN" w:eastAsia="zh-CN"/>
        </w:rPr>
        <w:t>（三）项目监管情况。</w:t>
      </w:r>
      <w:r>
        <w:rPr>
          <w:rFonts w:ascii="仿宋_GB2312" w:eastAsia="仿宋_GB2312" w:cs="仿宋_GB2312" w:hint="eastAsia"/>
          <w:kern w:val="0"/>
          <w:sz w:val="32"/>
          <w:szCs w:val="32"/>
          <w:lang w:val="zh-CN" w:eastAsia="zh-CN" w:bidi="ar-SA"/>
        </w:rPr>
        <w:t>过往部队接待及伙食补贴项目，业务科室进行具体开展，分管领导对项目进行监管，财务对资金使用范围进行把控，确保项目资金专款专用。</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62" w:name="_Toc737946038_WPSOffice_Level2"/>
      <w:bookmarkStart w:id="363" w:name="_Toc775732705_WPSOffice_Level2"/>
      <w:bookmarkStart w:id="364" w:name="_Toc878524566_WPSOffice_Level2"/>
      <w:bookmarkStart w:id="365" w:name="_Toc1002109394_WPSOffice_Level2"/>
      <w:r>
        <w:rPr>
          <w:rFonts w:ascii="Times New Roman" w:eastAsia="黑体" w:cs="Times New Roman" w:hAnsi="Times New Roman" w:hint="eastAsia"/>
          <w:bCs w:val="0"/>
          <w:sz w:val="32"/>
          <w:szCs w:val="32"/>
          <w:lang w:val="zh-CN" w:eastAsia="zh-CN"/>
        </w:rPr>
        <w:t>四、项目绩效情况</w:t>
      </w:r>
      <w:bookmarkEnd w:id="362"/>
      <w:bookmarkEnd w:id="363"/>
      <w:bookmarkEnd w:id="364"/>
      <w:bookmarkEnd w:id="365"/>
      <w:r>
        <w:rPr>
          <w:rFonts w:ascii="Times New Roman" w:eastAsia="黑体" w:cs="Times New Roman" w:hAnsi="Times New Roman" w:hint="eastAsia"/>
          <w:bCs w:val="0"/>
          <w:sz w:val="32"/>
          <w:szCs w:val="32"/>
          <w:lang w:val="zh-CN" w:eastAsia="zh-CN"/>
        </w:rPr>
        <w:tab/>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（一）项目完成情况。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202</w:t>
      </w:r>
      <w:r>
        <w:rPr>
          <w:rFonts w:ascii="仿宋_GB2312" w:eastAsia="仿宋_GB2312" w:cs="仿宋_GB2312" w:hint="eastAsia"/>
          <w:kern w:val="0"/>
          <w:sz w:val="32"/>
          <w:szCs w:val="32"/>
          <w:lang w:val="en-US" w:eastAsia="zh-CN" w:bidi="ar-SA"/>
        </w:rPr>
        <w:t>5</w:t>
      </w:r>
      <w:r>
        <w:rPr>
          <w:rFonts w:ascii="仿宋_GB2312" w:eastAsia="仿宋_GB2312" w:cs="仿宋_GB2312" w:hint="eastAsia"/>
          <w:kern w:val="0"/>
          <w:sz w:val="32"/>
          <w:szCs w:val="32"/>
          <w:lang w:val="zh-CN" w:eastAsia="zh-CN" w:bidi="ar-SA"/>
        </w:rPr>
        <w:t>年完成了对过往部队的接待保障任务，共支付接待部队期间采购的食材、耗材和设备及设备维护，以及产生的水电、物业、人工等费用</w:t>
      </w:r>
      <w:r>
        <w:rPr>
          <w:rFonts w:ascii="仿宋_GB2312" w:eastAsia="仿宋_GB2312" w:cs="仿宋_GB2312" w:hint="eastAsia"/>
          <w:kern w:val="0"/>
          <w:sz w:val="32"/>
          <w:szCs w:val="32"/>
          <w:lang w:val="en-US" w:eastAsia="zh-CN" w:bidi="ar-SA"/>
        </w:rPr>
        <w:t>20</w:t>
      </w:r>
      <w:r>
        <w:rPr>
          <w:rFonts w:ascii="仿宋_GB2312" w:eastAsia="仿宋_GB2312" w:cs="仿宋_GB2312" w:hint="eastAsia"/>
          <w:kern w:val="0"/>
          <w:sz w:val="32"/>
          <w:szCs w:val="32"/>
          <w:lang w:val="zh-CN" w:eastAsia="zh-CN" w:bidi="ar-SA"/>
        </w:rPr>
        <w:t>.00万元。</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（二）项目效益情况。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完成了对过往部队官兵、入伍新兵、退伍老兵和支前民兵、民工等运输途中的军供保障工作，受到部队官兵一致高度称赞，充分发挥了双拥窗口模范作用，加强了军民团结，推进了军民融合深度发展。</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66" w:name="_Toc460567677_WPSOffice_Level2"/>
      <w:bookmarkStart w:id="367" w:name="_Toc85615263_WPSOffice_Level2"/>
      <w:bookmarkStart w:id="368" w:name="_Toc1227914243_WPSOffice_Level2"/>
      <w:bookmarkStart w:id="369" w:name="_Toc1328871345_WPSOffice_Level2"/>
      <w:r>
        <w:rPr>
          <w:rFonts w:ascii="Times New Roman" w:eastAsia="黑体" w:cs="Times New Roman" w:hAnsi="Times New Roman" w:hint="eastAsia"/>
          <w:bCs w:val="0"/>
          <w:sz w:val="32"/>
          <w:szCs w:val="32"/>
          <w:lang w:val="zh-CN" w:eastAsia="zh-CN"/>
        </w:rPr>
        <w:t>五、评价结论及建议</w:t>
      </w:r>
      <w:bookmarkEnd w:id="366"/>
      <w:bookmarkEnd w:id="367"/>
      <w:bookmarkEnd w:id="368"/>
      <w:bookmarkEnd w:id="369"/>
    </w:p>
    <w:p>
      <w:pPr>
        <w:adjustRightInd w:val="0"/>
        <w:snapToGrid w:val="0"/>
        <w:spacing w:line="600" w:lineRule="exact"/>
        <w:ind w:firstLine="720"/>
        <w:rPr>
          <w:rFonts w:ascii="仿宋_GB2312" w:eastAsia="仿宋_GB2312" w:cs="仿宋_GB2312"/>
          <w:kern w:val="0"/>
          <w:sz w:val="32"/>
          <w:szCs w:val="32"/>
          <w:lang w:val="en-US" w:eastAsia="zh-CN" w:bidi="ar-SA"/>
        </w:rPr>
      </w:pPr>
      <w:r>
        <w:rPr>
          <w:rFonts w:ascii="仿宋_GB2312" w:eastAsia="仿宋_GB2312" w:cs="仿宋_GB2312"/>
          <w:kern w:val="0"/>
          <w:sz w:val="32"/>
          <w:szCs w:val="32"/>
          <w:lang w:val="en-US" w:eastAsia="zh-CN" w:bidi="ar-SA"/>
        </w:rPr>
        <w:t>过往部队接待及伙食补贴项目绩效目标清晰明确，资金支付全程严格遵循单位资金管理制度，流程规范合规。鉴于过往部队接待任务具有时间不确定性及部队需求多样化</w:t>
      </w:r>
      <w:r>
        <w:rPr>
          <w:rFonts w:ascii="仿宋_GB2312" w:eastAsia="仿宋_GB2312" w:cs="仿宋_GB2312" w:hint="eastAsia"/>
          <w:kern w:val="0"/>
          <w:sz w:val="32"/>
          <w:szCs w:val="32"/>
          <w:lang w:val="en-US" w:eastAsia="zh-CN" w:bidi="ar-SA"/>
        </w:rPr>
        <w:t>等</w:t>
      </w:r>
      <w:r>
        <w:rPr>
          <w:rFonts w:ascii="仿宋_GB2312" w:eastAsia="仿宋_GB2312" w:cs="仿宋_GB2312"/>
          <w:kern w:val="0"/>
          <w:sz w:val="32"/>
          <w:szCs w:val="32"/>
          <w:lang w:val="en-US" w:eastAsia="zh-CN" w:bidi="ar-SA"/>
        </w:rPr>
        <w:t>客观</w:t>
      </w:r>
      <w:r>
        <w:rPr>
          <w:rFonts w:ascii="仿宋_GB2312" w:eastAsia="仿宋_GB2312" w:cs="仿宋_GB2312" w:hint="eastAsia"/>
          <w:kern w:val="0"/>
          <w:sz w:val="32"/>
          <w:szCs w:val="32"/>
          <w:lang w:val="en-US" w:eastAsia="zh-CN" w:bidi="ar-SA"/>
        </w:rPr>
        <w:t>因素</w:t>
      </w:r>
      <w:r>
        <w:rPr>
          <w:rFonts w:ascii="仿宋_GB2312" w:eastAsia="仿宋_GB2312" w:cs="仿宋_GB2312"/>
          <w:kern w:val="0"/>
          <w:sz w:val="32"/>
          <w:szCs w:val="32"/>
          <w:lang w:val="en-US" w:eastAsia="zh-CN" w:bidi="ar-SA"/>
        </w:rPr>
        <w:t>，项目执行过程中存在实际保障需求与初期计划略有</w:t>
      </w:r>
      <w:r>
        <w:rPr>
          <w:rFonts w:ascii="仿宋_GB2312" w:eastAsia="仿宋_GB2312" w:cs="仿宋_GB2312" w:hint="eastAsia"/>
          <w:kern w:val="0"/>
          <w:sz w:val="32"/>
          <w:szCs w:val="32"/>
          <w:lang w:val="en-US" w:eastAsia="zh-CN" w:bidi="ar-SA"/>
        </w:rPr>
        <w:t>调整</w:t>
      </w:r>
      <w:r>
        <w:rPr>
          <w:rFonts w:ascii="仿宋_GB2312" w:eastAsia="仿宋_GB2312" w:cs="仿宋_GB2312"/>
          <w:kern w:val="0"/>
          <w:sz w:val="32"/>
          <w:szCs w:val="32"/>
          <w:lang w:val="en-US" w:eastAsia="zh-CN" w:bidi="ar-SA"/>
        </w:rPr>
        <w:t>，但整体运行平稳，各项绩效指标均圆满达成预期</w:t>
      </w:r>
      <w:r>
        <w:rPr>
          <w:rFonts w:ascii="仿宋_GB2312" w:eastAsia="仿宋_GB2312" w:cs="仿宋_GB2312" w:hint="eastAsia"/>
          <w:kern w:val="0"/>
          <w:sz w:val="32"/>
          <w:szCs w:val="32"/>
          <w:lang w:val="en-US" w:eastAsia="zh-CN" w:bidi="ar-SA"/>
        </w:rPr>
        <w:t>。</w:t>
      </w:r>
    </w:p>
    <w:p>
      <w:pPr>
        <w:adjustRightInd w:val="0"/>
        <w:snapToGrid w:val="0"/>
        <w:spacing w:line="600" w:lineRule="exact"/>
        <w:ind w:firstLine="720"/>
        <w:rPr>
          <w:rFonts w:ascii="仿宋_GB2312" w:eastAsia="仿宋_GB2312" w:cs="仿宋_GB2312"/>
          <w:kern w:val="0"/>
          <w:sz w:val="32"/>
          <w:szCs w:val="32"/>
          <w:lang w:val="en-US" w:eastAsia="zh-CN" w:bidi="ar-SA"/>
        </w:rPr>
      </w:pPr>
    </w:p>
    <w:p>
      <w:pPr>
        <w:adjustRightInd w:val="0"/>
        <w:snapToGrid w:val="0"/>
        <w:spacing w:line="600" w:lineRule="exact"/>
        <w:ind w:firstLine="720"/>
        <w:rPr>
          <w:rFonts w:ascii="仿宋_GB2312" w:eastAsia="仿宋_GB2312" w:cs="仿宋_GB2312" w:hint="eastAsia"/>
          <w:kern w:val="0"/>
          <w:sz w:val="32"/>
          <w:szCs w:val="32"/>
          <w:lang w:val="zh-CN" w:eastAsia="zh-CN" w:bidi="ar-SA"/>
        </w:rPr>
      </w:pPr>
    </w:p>
    <w:p>
      <w:pPr>
        <w:adjustRightInd w:val="0"/>
        <w:snapToGrid w:val="0"/>
        <w:spacing w:line="600" w:lineRule="exact"/>
        <w:ind w:firstLine="720"/>
        <w:rPr>
          <w:rFonts w:ascii="仿宋_GB2312" w:eastAsia="仿宋_GB2312" w:cs="仿宋_GB2312" w:hint="eastAsia"/>
          <w:kern w:val="0"/>
          <w:sz w:val="32"/>
          <w:szCs w:val="32"/>
          <w:lang w:val="zh-CN" w:eastAsia="zh-CN" w:bidi="ar-SA"/>
        </w:rPr>
      </w:pPr>
    </w:p>
    <w:p>
      <w:pPr>
        <w:adjustRightInd w:val="0"/>
        <w:snapToGrid w:val="0"/>
        <w:spacing w:line="600" w:lineRule="exact"/>
        <w:ind w:firstLine="720"/>
        <w:rPr>
          <w:rFonts w:ascii="仿宋_GB2312" w:eastAsia="仿宋_GB2312" w:cs="仿宋_GB2312" w:hint="eastAsia"/>
          <w:kern w:val="0"/>
          <w:sz w:val="32"/>
          <w:szCs w:val="32"/>
          <w:lang w:val="zh-CN" w:eastAsia="zh-CN" w:bidi="ar-SA"/>
        </w:rPr>
      </w:pPr>
    </w:p>
    <w:p/>
    <w:p/>
    <w:p/>
    <w:p/>
    <w:p/>
    <w:p/>
    <w:p/>
    <w:p/>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spacing w:line="578" w:lineRule="exact"/>
        <w:rPr>
          <w:rFonts w:eastAsia="仿宋_GB2312" w:cs="仿宋_GB2312" w:hint="eastAsia"/>
          <w:kern w:val="0"/>
          <w:sz w:val="32"/>
          <w:szCs w:val="32"/>
        </w:rPr>
      </w:pPr>
    </w:p>
    <w:p>
      <w:pPr>
        <w:pStyle w:val="38"/>
        <w:spacing w:line="600" w:lineRule="exact"/>
        <w:jc w:val="center"/>
        <w:rPr>
          <w:rFonts w:ascii="Times New Roman" w:eastAsia="方正小标宋简体" w:hAnsi="Times New Roman"/>
          <w:color w:val="auto"/>
          <w:kern w:val="2"/>
          <w:sz w:val="40"/>
          <w:szCs w:val="40"/>
        </w:rPr>
      </w:pPr>
      <w:bookmarkStart w:id="370" w:name="_Toc1994537211_WPSOffice_Level2"/>
      <w:bookmarkStart w:id="371" w:name="_Toc659164017_WPSOffice_Level2"/>
      <w:bookmarkStart w:id="372" w:name="_Toc1816821284_WPSOffice_Level2"/>
      <w:bookmarkStart w:id="373" w:name="_Toc1391155623_WPSOffice_Level2"/>
      <w:r>
        <w:rPr>
          <w:rFonts w:ascii="Times New Roman" w:eastAsia="方正小标宋简体" w:hAnsi="Times New Roman"/>
          <w:color w:val="auto"/>
          <w:kern w:val="2"/>
          <w:sz w:val="40"/>
          <w:szCs w:val="40"/>
        </w:rPr>
        <w:t>专项预算项目支出绩效自评报告</w:t>
      </w:r>
      <w:bookmarkEnd w:id="370"/>
      <w:bookmarkEnd w:id="371"/>
      <w:bookmarkEnd w:id="372"/>
      <w:bookmarkEnd w:id="373"/>
    </w:p>
    <w:p>
      <w:pPr>
        <w:autoSpaceDE w:val="0"/>
        <w:autoSpaceDN w:val="0"/>
        <w:adjustRightInd w:val="0"/>
        <w:spacing w:line="600" w:lineRule="exact"/>
        <w:jc w:val="center"/>
        <w:rPr>
          <w:rFonts w:ascii="Times New Roman" w:eastAsia="仿宋_GB2312" w:cs="Times New Roman" w:hAnsi="Times New Roman" w:hint="eastAsia"/>
          <w:bCs w:val="0"/>
          <w:kern w:val="0"/>
          <w:sz w:val="24"/>
          <w:szCs w:val="24"/>
          <w:lang w:val="en-US" w:eastAsia="zh-CN"/>
        </w:rPr>
      </w:pPr>
      <w:r>
        <w:rPr>
          <w:rFonts w:ascii="Times New Roman" w:eastAsia="仿宋_GB2312" w:cs="Times New Roman" w:hAnsi="Times New Roman" w:hint="eastAsia"/>
          <w:bCs w:val="0"/>
          <w:kern w:val="0"/>
          <w:sz w:val="24"/>
          <w:szCs w:val="24"/>
          <w:lang w:val="en-US" w:eastAsia="zh-CN"/>
        </w:rPr>
        <w:t>（退役士兵适应性培训）</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74" w:name="_Toc1341883088_WPSOffice_Level2"/>
      <w:bookmarkStart w:id="375" w:name="_Toc1869966607_WPSOffice_Level2"/>
      <w:bookmarkStart w:id="376" w:name="_Toc1855524484_WPSOffice_Level2"/>
      <w:bookmarkStart w:id="377" w:name="_Toc112726536_WPSOffice_Level2"/>
      <w:r>
        <w:rPr>
          <w:rFonts w:ascii="Times New Roman" w:eastAsia="黑体" w:cs="Times New Roman" w:hAnsi="Times New Roman" w:hint="eastAsia"/>
          <w:bCs w:val="0"/>
          <w:sz w:val="32"/>
          <w:szCs w:val="32"/>
          <w:lang w:val="en-US" w:eastAsia="zh-CN"/>
        </w:rPr>
        <w:t>一、</w:t>
      </w:r>
      <w:r>
        <w:rPr>
          <w:rFonts w:ascii="Times New Roman" w:eastAsia="黑体" w:cs="Times New Roman" w:hAnsi="Times New Roman" w:hint="eastAsia"/>
          <w:bCs w:val="0"/>
          <w:sz w:val="32"/>
          <w:szCs w:val="32"/>
          <w:lang w:val="zh-CN" w:eastAsia="zh-CN"/>
        </w:rPr>
        <w:t>项目概况</w:t>
      </w:r>
      <w:bookmarkEnd w:id="374"/>
      <w:bookmarkEnd w:id="375"/>
      <w:bookmarkEnd w:id="376"/>
      <w:bookmarkEnd w:id="377"/>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Times New Roman" w:eastAsia="楷体_GB2312" w:cs="Times New Roman" w:hAnsi="Times New Roman" w:hint="eastAsia"/>
          <w:b/>
          <w:bCs w:val="0"/>
          <w:sz w:val="32"/>
          <w:szCs w:val="32"/>
          <w:lang w:val="zh-CN" w:eastAsia="zh-CN"/>
        </w:rPr>
        <w:t>（一）项目基本情况。</w:t>
      </w:r>
      <w:r>
        <w:rPr>
          <w:rFonts w:ascii="仿宋_GB2312" w:eastAsia="仿宋_GB2312" w:cs="Times New Roman" w:hint="eastAsia"/>
          <w:sz w:val="32"/>
          <w:szCs w:val="32"/>
          <w:lang w:val="zh-CN" w:eastAsia="zh-CN" w:bidi="ar-SA"/>
        </w:rPr>
        <w:t>攀枝花市退役军人服务中心按照《关于全面做好退役士兵教育培训工作的指导意见》（退役军人部发〔20</w:t>
      </w:r>
      <w:r>
        <w:rPr>
          <w:rFonts w:ascii="仿宋_GB2312" w:eastAsia="仿宋_GB2312" w:cs="Times New Roman" w:hint="eastAsia"/>
          <w:sz w:val="32"/>
          <w:szCs w:val="32"/>
          <w:lang w:val="en-US" w:eastAsia="zh-CN" w:bidi="ar-SA"/>
        </w:rPr>
        <w:t>21</w:t>
      </w:r>
      <w:r>
        <w:rPr>
          <w:rFonts w:ascii="仿宋_GB2312" w:eastAsia="仿宋_GB2312" w:cs="Times New Roman" w:hint="eastAsia"/>
          <w:sz w:val="32"/>
          <w:szCs w:val="32"/>
          <w:lang w:val="zh-CN" w:eastAsia="zh-CN" w:bidi="ar-SA"/>
        </w:rPr>
        <w:t>〕</w:t>
      </w:r>
      <w:r>
        <w:rPr>
          <w:rFonts w:ascii="仿宋_GB2312" w:eastAsia="仿宋_GB2312" w:cs="Times New Roman" w:hint="eastAsia"/>
          <w:sz w:val="32"/>
          <w:szCs w:val="32"/>
          <w:lang w:val="en-US" w:eastAsia="zh-CN" w:bidi="ar-SA"/>
        </w:rPr>
        <w:t>53</w:t>
      </w:r>
      <w:r>
        <w:rPr>
          <w:rFonts w:ascii="仿宋_GB2312" w:eastAsia="仿宋_GB2312" w:cs="Times New Roman" w:hint="eastAsia"/>
          <w:sz w:val="32"/>
          <w:szCs w:val="32"/>
          <w:lang w:val="zh-CN" w:eastAsia="zh-CN" w:bidi="ar-SA"/>
        </w:rPr>
        <w:t>号）、《关于全面做好退役军人教育培训工作的实施意见》（川退役军人发〔20</w:t>
      </w:r>
      <w:r>
        <w:rPr>
          <w:rFonts w:ascii="仿宋_GB2312" w:eastAsia="仿宋_GB2312" w:cs="Times New Roman" w:hint="eastAsia"/>
          <w:sz w:val="32"/>
          <w:szCs w:val="32"/>
          <w:lang w:val="en-US" w:eastAsia="zh-CN" w:bidi="ar-SA"/>
        </w:rPr>
        <w:t>22</w:t>
      </w:r>
      <w:r>
        <w:rPr>
          <w:rFonts w:ascii="仿宋_GB2312" w:eastAsia="仿宋_GB2312" w:cs="Times New Roman" w:hint="eastAsia"/>
          <w:sz w:val="32"/>
          <w:szCs w:val="32"/>
          <w:lang w:val="zh-CN" w:eastAsia="zh-CN" w:bidi="ar-SA"/>
        </w:rPr>
        <w:t>〕</w:t>
      </w:r>
      <w:r>
        <w:rPr>
          <w:rFonts w:ascii="仿宋_GB2312" w:eastAsia="仿宋_GB2312" w:cs="Times New Roman" w:hint="eastAsia"/>
          <w:sz w:val="32"/>
          <w:szCs w:val="32"/>
          <w:lang w:val="en-US" w:eastAsia="zh-CN" w:bidi="ar-SA"/>
        </w:rPr>
        <w:t>74</w:t>
      </w:r>
      <w:r>
        <w:rPr>
          <w:rFonts w:ascii="仿宋_GB2312" w:eastAsia="仿宋_GB2312" w:cs="Times New Roman" w:hint="eastAsia"/>
          <w:sz w:val="32"/>
          <w:szCs w:val="32"/>
          <w:lang w:val="zh-CN" w:eastAsia="zh-CN" w:bidi="ar-SA"/>
        </w:rPr>
        <w:t>号）等相关文件规定，负责开展全市退役士兵适应性培训工作，</w:t>
      </w:r>
      <w:r>
        <w:rPr>
          <w:rFonts w:ascii="仿宋_GB2312" w:eastAsia="仿宋_GB2312" w:cs="Times New Roman"/>
          <w:sz w:val="32"/>
          <w:szCs w:val="32"/>
          <w:lang w:eastAsia="zh-CN" w:bidi="ar-SA"/>
        </w:rPr>
        <w:t>主要</w:t>
      </w:r>
      <w:r>
        <w:rPr>
          <w:rFonts w:ascii="仿宋_GB2312" w:eastAsia="仿宋_GB2312" w:cs="Times New Roman" w:hint="eastAsia"/>
          <w:sz w:val="32"/>
          <w:szCs w:val="32"/>
          <w:lang w:val="zh-CN" w:eastAsia="zh-CN" w:bidi="ar-SA"/>
        </w:rPr>
        <w:t>包括培训需求调研、开展培训、质量监督及效果评估等。</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（二）项目绩效目标。</w:t>
      </w:r>
    </w:p>
    <w:p>
      <w:pPr>
        <w:adjustRightInd w:val="0"/>
        <w:snapToGrid w:val="0"/>
        <w:spacing w:line="600" w:lineRule="exact"/>
        <w:ind w:firstLine="720"/>
        <w:rPr>
          <w:rFonts w:ascii="仿宋_GB2312" w:eastAsia="仿宋_GB2312" w:cs="仿宋_GB2312"/>
          <w:kern w:val="0"/>
          <w:sz w:val="32"/>
          <w:szCs w:val="32"/>
          <w:lang w:eastAsia="zh-CN" w:bidi="ar-SA"/>
        </w:rPr>
      </w:pPr>
      <w:r>
        <w:rPr>
          <w:rFonts w:ascii="仿宋_GB2312" w:eastAsia="仿宋_GB2312" w:cs="仿宋_GB2312" w:hint="eastAsia"/>
          <w:kern w:val="0"/>
          <w:sz w:val="32"/>
          <w:szCs w:val="32"/>
          <w:lang w:val="zh-CN" w:eastAsia="zh-CN" w:bidi="ar-SA"/>
        </w:rPr>
        <w:t>1.项目主要内容。</w:t>
      </w:r>
      <w:r>
        <w:rPr>
          <w:rFonts w:ascii="仿宋_GB2312" w:eastAsia="仿宋_GB2312" w:cs="仿宋_GB2312"/>
          <w:kern w:val="0"/>
          <w:sz w:val="32"/>
          <w:szCs w:val="32"/>
          <w:lang w:eastAsia="zh-CN" w:bidi="ar-SA"/>
        </w:rPr>
        <w:t>对自主就业退役士兵开展适应性培训，培训内容包括思想政治与纪律教育、政策与法规普及、心理调适与角色转换、职业指导与就业服务等，对当前就业创业形势分析、引导合理就业预期。</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2.项目实现的具体绩效目标。助力自主就业退役士兵顺利完成从部队到地方的角色转换，快速融入社会，为后续就业创业与长远发展奠定基础。</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仿宋_GB2312" w:hint="eastAsia"/>
          <w:kern w:val="0"/>
          <w:sz w:val="32"/>
          <w:szCs w:val="32"/>
          <w:lang w:val="zh-CN" w:eastAsia="zh-CN" w:bidi="ar-SA"/>
        </w:rPr>
        <w:t>3.分析评价申报内容。项目申报内容完全符合实际开展情况，申报目标设定合理可行。目标指标紧扣当地就业形势，符合退役士兵实现“就业率提升、角色平稳转换”的项目总目标。</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（三）项目自评步骤及方法。</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仿宋_GB2312" w:eastAsia="仿宋_GB2312" w:cs="Times New Roman" w:hint="eastAsia"/>
          <w:sz w:val="32"/>
          <w:szCs w:val="32"/>
          <w:lang w:val="zh-CN" w:eastAsia="zh-CN" w:bidi="ar-SA"/>
        </w:rPr>
        <w:t>采取整体评价的方式，定量</w:t>
      </w:r>
      <w:r>
        <w:rPr>
          <w:rFonts w:ascii="仿宋_GB2312" w:eastAsia="仿宋_GB2312" w:cs="Times New Roman" w:hint="eastAsia"/>
          <w:sz w:val="32"/>
          <w:szCs w:val="32"/>
          <w:lang w:val="en-US" w:eastAsia="zh-CN" w:bidi="ar-SA"/>
        </w:rPr>
        <w:t>评价+定性评价相结合。</w:t>
      </w:r>
    </w:p>
    <w:p>
      <w:pPr>
        <w:adjustRightInd w:val="0"/>
        <w:snapToGrid w:val="0"/>
        <w:spacing w:line="600" w:lineRule="exact"/>
        <w:ind w:firstLine="720"/>
        <w:rPr>
          <w:rFonts w:ascii="Times New Roman" w:eastAsia="黑体" w:cs="Times New Roman" w:hAnsi="Times New Roman" w:hint="eastAsia"/>
          <w:bCs w:val="0"/>
          <w:sz w:val="32"/>
          <w:szCs w:val="32"/>
          <w:lang w:val="en-US" w:eastAsia="zh-CN"/>
        </w:rPr>
      </w:pPr>
      <w:bookmarkStart w:id="378" w:name="_Toc1725315258_WPSOffice_Level2"/>
      <w:bookmarkStart w:id="379" w:name="_Toc1535765076_WPSOffice_Level2"/>
      <w:bookmarkStart w:id="380" w:name="_Toc700820725_WPSOffice_Level2"/>
      <w:bookmarkStart w:id="381" w:name="_Toc313125973_WPSOffice_Level2"/>
      <w:r>
        <w:rPr>
          <w:rFonts w:ascii="Times New Roman" w:eastAsia="黑体" w:cs="Times New Roman" w:hAnsi="Times New Roman" w:hint="eastAsia"/>
          <w:bCs w:val="0"/>
          <w:sz w:val="32"/>
          <w:szCs w:val="32"/>
          <w:lang w:val="en-US" w:eastAsia="zh-CN"/>
        </w:rPr>
        <w:t>二、项目资金申报及使用情况</w:t>
      </w:r>
      <w:bookmarkEnd w:id="378"/>
      <w:bookmarkEnd w:id="379"/>
      <w:bookmarkEnd w:id="380"/>
      <w:bookmarkEnd w:id="381"/>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（一）项目资金申报及批复情况。</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sz w:val="32"/>
          <w:szCs w:val="32"/>
          <w:lang w:eastAsia="zh-CN" w:bidi="ar-SA"/>
        </w:rPr>
      </w:pPr>
      <w:r>
        <w:rPr>
          <w:rFonts w:ascii="仿宋_GB2312" w:eastAsia="仿宋_GB2312" w:cs="Times New Roman" w:hint="eastAsia"/>
          <w:sz w:val="32"/>
          <w:szCs w:val="32"/>
          <w:lang w:val="zh-CN" w:eastAsia="zh-CN" w:bidi="ar-SA"/>
        </w:rPr>
        <w:t>年初预算批复退役士兵适应性培训金额</w:t>
      </w:r>
      <w:r>
        <w:rPr>
          <w:rFonts w:ascii="仿宋_GB2312" w:eastAsia="仿宋_GB2312" w:cs="Times New Roman" w:hint="eastAsia"/>
          <w:sz w:val="32"/>
          <w:szCs w:val="32"/>
          <w:lang w:val="en-US" w:eastAsia="zh-CN" w:bidi="ar-SA"/>
        </w:rPr>
        <w:t>5</w:t>
      </w:r>
      <w:r>
        <w:rPr>
          <w:rFonts w:ascii="仿宋_GB2312" w:eastAsia="仿宋_GB2312" w:cs="Times New Roman" w:hint="eastAsia"/>
          <w:sz w:val="32"/>
          <w:szCs w:val="32"/>
          <w:lang w:val="zh-CN" w:eastAsia="zh-CN" w:bidi="ar-SA"/>
        </w:rPr>
        <w:t>万元</w:t>
      </w:r>
      <w:r>
        <w:rPr>
          <w:rFonts w:ascii="仿宋_GB2312" w:eastAsia="仿宋_GB2312" w:cs="Times New Roman"/>
          <w:sz w:val="32"/>
          <w:szCs w:val="32"/>
          <w:lang w:eastAsia="zh-CN" w:bidi="ar-SA"/>
        </w:rPr>
        <w:t>。</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（二）资金计划、到位及使用情况。</w:t>
      </w:r>
    </w:p>
    <w:p>
      <w:pPr>
        <w:adjustRightInd w:val="0"/>
        <w:snapToGrid w:val="0"/>
        <w:spacing w:line="600" w:lineRule="exact"/>
        <w:ind w:firstLine="720"/>
        <w:rPr>
          <w:rFonts w:ascii="仿宋_GB2312" w:eastAsia="仿宋_GB2312" w:cs="仿宋_GB2312" w:hint="eastAsia"/>
          <w:kern w:val="0"/>
          <w:sz w:val="32"/>
          <w:szCs w:val="32"/>
          <w:lang w:val="zh-CN" w:eastAsia="zh-CN" w:bidi="ar-SA"/>
        </w:rPr>
      </w:pPr>
      <w:r>
        <w:rPr>
          <w:rFonts w:ascii="仿宋_GB2312" w:eastAsia="仿宋_GB2312" w:cs="Times New Roman" w:hint="eastAsia"/>
          <w:sz w:val="32"/>
          <w:szCs w:val="32"/>
          <w:lang w:val="zh-CN" w:eastAsia="zh-CN" w:bidi="ar-SA"/>
        </w:rPr>
        <w:t>1</w:t>
      </w:r>
      <w:r>
        <w:rPr>
          <w:rFonts w:ascii="仿宋_GB2312" w:eastAsia="仿宋_GB2312" w:cs="Times New Roman" w:hint="eastAsia"/>
          <w:sz w:val="32"/>
          <w:szCs w:val="32"/>
          <w:lang w:val="en-US" w:eastAsia="zh-CN" w:bidi="ar-SA"/>
        </w:rPr>
        <w:t>.</w:t>
      </w:r>
      <w:r>
        <w:rPr>
          <w:rFonts w:ascii="仿宋_GB2312" w:eastAsia="仿宋_GB2312" w:cs="Times New Roman" w:hint="eastAsia"/>
          <w:sz w:val="32"/>
          <w:szCs w:val="32"/>
          <w:lang w:val="zh-CN" w:eastAsia="zh-CN" w:bidi="ar-SA"/>
        </w:rPr>
        <w:t>资金计划。</w:t>
      </w:r>
      <w:r>
        <w:rPr>
          <w:rFonts w:ascii="仿宋_GB2312" w:eastAsia="仿宋_GB2312" w:cs="仿宋_GB2312" w:hint="eastAsia"/>
          <w:kern w:val="0"/>
          <w:sz w:val="32"/>
          <w:szCs w:val="32"/>
          <w:lang w:val="zh-CN" w:eastAsia="zh-CN" w:bidi="ar-SA"/>
        </w:rPr>
        <w:t>该项目属于市财政拨款资金，结合近年来项目</w:t>
      </w:r>
      <w:r>
        <w:rPr>
          <w:rFonts w:ascii="仿宋_GB2312" w:eastAsia="仿宋_GB2312" w:cs="仿宋_GB2312"/>
          <w:kern w:val="0"/>
          <w:sz w:val="32"/>
          <w:szCs w:val="32"/>
          <w:lang w:eastAsia="zh-CN" w:bidi="ar-SA"/>
        </w:rPr>
        <w:t>开展</w:t>
      </w:r>
      <w:r>
        <w:rPr>
          <w:rFonts w:ascii="仿宋_GB2312" w:eastAsia="仿宋_GB2312" w:cs="仿宋_GB2312" w:hint="eastAsia"/>
          <w:kern w:val="0"/>
          <w:sz w:val="32"/>
          <w:szCs w:val="32"/>
          <w:lang w:val="zh-CN" w:eastAsia="zh-CN" w:bidi="ar-SA"/>
        </w:rPr>
        <w:t>情况和工作安排做出合理计划，上报市财政。</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2</w:t>
      </w:r>
      <w:r>
        <w:rPr>
          <w:rFonts w:ascii="仿宋_GB2312" w:eastAsia="仿宋_GB2312" w:cs="Times New Roman" w:hint="eastAsia"/>
          <w:sz w:val="32"/>
          <w:szCs w:val="32"/>
          <w:lang w:val="en-US" w:eastAsia="zh-CN" w:bidi="ar-SA"/>
        </w:rPr>
        <w:t>.</w:t>
      </w:r>
      <w:r>
        <w:rPr>
          <w:rFonts w:ascii="仿宋_GB2312" w:eastAsia="仿宋_GB2312" w:cs="Times New Roman" w:hint="eastAsia"/>
          <w:sz w:val="32"/>
          <w:szCs w:val="32"/>
          <w:lang w:val="zh-CN" w:eastAsia="zh-CN" w:bidi="ar-SA"/>
        </w:rPr>
        <w:t>资金到位。全部资金</w:t>
      </w:r>
      <w:r>
        <w:rPr>
          <w:rFonts w:ascii="仿宋_GB2312" w:eastAsia="仿宋_GB2312" w:cs="Times New Roman" w:hint="eastAsia"/>
          <w:sz w:val="32"/>
          <w:szCs w:val="32"/>
          <w:lang w:val="en-US" w:eastAsia="zh-CN" w:bidi="ar-SA"/>
        </w:rPr>
        <w:t>均</w:t>
      </w:r>
      <w:r>
        <w:rPr>
          <w:rFonts w:ascii="仿宋_GB2312" w:eastAsia="仿宋_GB2312" w:cs="Times New Roman" w:hint="eastAsia"/>
          <w:sz w:val="32"/>
          <w:szCs w:val="32"/>
          <w:lang w:val="zh-CN" w:eastAsia="zh-CN" w:bidi="ar-SA"/>
        </w:rPr>
        <w:t>已经及时到位。</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3</w:t>
      </w:r>
      <w:r>
        <w:rPr>
          <w:rFonts w:ascii="仿宋_GB2312" w:eastAsia="仿宋_GB2312" w:cs="Times New Roman" w:hint="eastAsia"/>
          <w:sz w:val="32"/>
          <w:szCs w:val="32"/>
          <w:lang w:val="en-US" w:eastAsia="zh-CN" w:bidi="ar-SA"/>
        </w:rPr>
        <w:t>.</w:t>
      </w:r>
      <w:r>
        <w:rPr>
          <w:rFonts w:ascii="仿宋_GB2312" w:eastAsia="仿宋_GB2312" w:cs="Times New Roman" w:hint="eastAsia"/>
          <w:sz w:val="32"/>
          <w:szCs w:val="32"/>
          <w:lang w:val="zh-CN" w:eastAsia="zh-CN" w:bidi="ar-SA"/>
        </w:rPr>
        <w:t>资金使用。资金全部用于退役士兵适应性培训</w:t>
      </w:r>
      <w:r>
        <w:rPr>
          <w:rFonts w:ascii="仿宋_GB2312" w:eastAsia="仿宋_GB2312" w:cs="Times New Roman"/>
          <w:sz w:val="32"/>
          <w:szCs w:val="32"/>
          <w:lang w:eastAsia="zh-CN" w:bidi="ar-SA"/>
        </w:rPr>
        <w:t>，</w:t>
      </w:r>
      <w:r>
        <w:rPr>
          <w:rFonts w:ascii="仿宋_GB2312" w:eastAsia="仿宋_GB2312" w:cs="Times New Roman" w:hint="eastAsia"/>
          <w:sz w:val="32"/>
          <w:szCs w:val="32"/>
          <w:lang w:val="zh-CN" w:eastAsia="zh-CN" w:bidi="ar-SA"/>
        </w:rPr>
        <w:t>资金使用安全、规范，资金支付范围、支付标准、支付进度、支付依据合规合法，与预算相符。</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（三）项目财务管理情况。</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项目实施单位财务管理制度健全，严格执行财务管理制度，账务处理及时，会计核算规范。</w:t>
      </w:r>
    </w:p>
    <w:p>
      <w:pPr>
        <w:adjustRightInd w:val="0"/>
        <w:snapToGrid w:val="0"/>
        <w:spacing w:line="600" w:lineRule="exact"/>
        <w:ind w:firstLine="720"/>
        <w:rPr>
          <w:rFonts w:ascii="Times New Roman" w:eastAsia="黑体" w:cs="Times New Roman" w:hAnsi="Times New Roman" w:hint="eastAsia"/>
          <w:bCs w:val="0"/>
          <w:sz w:val="32"/>
          <w:szCs w:val="32"/>
          <w:lang w:val="en-US" w:eastAsia="zh-CN"/>
        </w:rPr>
      </w:pPr>
      <w:bookmarkStart w:id="382" w:name="_Toc1197210619_WPSOffice_Level2"/>
      <w:bookmarkStart w:id="383" w:name="_Toc1806505277_WPSOffice_Level2"/>
      <w:bookmarkStart w:id="384" w:name="_Toc142826093_WPSOffice_Level2"/>
      <w:bookmarkStart w:id="385" w:name="_Toc435014607_WPSOffice_Level2"/>
      <w:r>
        <w:rPr>
          <w:rFonts w:ascii="Times New Roman" w:eastAsia="黑体" w:cs="Times New Roman" w:hAnsi="Times New Roman" w:hint="eastAsia"/>
          <w:bCs w:val="0"/>
          <w:sz w:val="32"/>
          <w:szCs w:val="32"/>
          <w:lang w:val="en-US" w:eastAsia="zh-CN"/>
        </w:rPr>
        <w:t>三、项目实施及管理情况</w:t>
      </w:r>
      <w:bookmarkEnd w:id="382"/>
      <w:bookmarkEnd w:id="383"/>
      <w:bookmarkEnd w:id="384"/>
      <w:bookmarkEnd w:id="385"/>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en-US" w:eastAsia="zh-CN" w:bidi="ar-SA"/>
        </w:rPr>
      </w:pPr>
      <w:r>
        <w:rPr>
          <w:rFonts w:ascii="Times New Roman" w:eastAsia="楷体_GB2312" w:cs="Times New Roman" w:hAnsi="Times New Roman" w:hint="eastAsia"/>
          <w:b/>
          <w:bCs w:val="0"/>
          <w:sz w:val="32"/>
          <w:szCs w:val="32"/>
          <w:lang w:val="zh-CN" w:eastAsia="zh-CN"/>
        </w:rPr>
        <w:t>（一）项目组织架构及实施流程。</w:t>
      </w:r>
      <w:r>
        <w:rPr>
          <w:rFonts w:ascii="仿宋_GB2312" w:eastAsia="仿宋_GB2312" w:cs="Times New Roman" w:hint="eastAsia"/>
          <w:sz w:val="32"/>
          <w:szCs w:val="32"/>
          <w:lang w:val="zh-CN" w:eastAsia="zh-CN" w:bidi="ar-SA"/>
        </w:rPr>
        <w:t>委托攀枝花市退役军人学院组织实施，签订服务协议，按照规定展开培训。</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Times New Roman" w:eastAsia="楷体_GB2312" w:cs="Times New Roman" w:hAnsi="Times New Roman" w:hint="eastAsia"/>
          <w:b/>
          <w:bCs w:val="0"/>
          <w:sz w:val="32"/>
          <w:szCs w:val="32"/>
          <w:lang w:val="zh-CN" w:eastAsia="zh-CN"/>
        </w:rPr>
        <w:t>（二）项目管理情况。</w:t>
      </w:r>
      <w:r>
        <w:rPr>
          <w:rFonts w:ascii="仿宋_GB2312" w:eastAsia="仿宋_GB2312" w:cs="Times New Roman" w:hint="eastAsia"/>
          <w:sz w:val="32"/>
          <w:szCs w:val="32"/>
          <w:lang w:val="zh-CN" w:eastAsia="zh-CN" w:bidi="ar-SA"/>
        </w:rPr>
        <w:t>培训过程全程跟踪，不定期抽查课程质量，重点检查项目资金使用是否合规，确保项目质量和进度。</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Times New Roman" w:eastAsia="楷体_GB2312" w:cs="Times New Roman" w:hAnsi="Times New Roman" w:hint="eastAsia"/>
          <w:b/>
          <w:bCs w:val="0"/>
          <w:sz w:val="32"/>
          <w:szCs w:val="32"/>
          <w:lang w:val="zh-CN" w:eastAsia="zh-CN"/>
        </w:rPr>
        <w:t>（三）项目监管情况。</w:t>
      </w:r>
      <w:r>
        <w:rPr>
          <w:rFonts w:ascii="仿宋_GB2312" w:eastAsia="仿宋_GB2312" w:cs="Times New Roman" w:hint="eastAsia"/>
          <w:sz w:val="32"/>
          <w:szCs w:val="32"/>
          <w:lang w:val="zh-CN" w:eastAsia="zh-CN" w:bidi="ar-SA"/>
        </w:rPr>
        <w:t>通过学员满意度调查、就业跟踪回访、量化指标等方式监管，严格执行“专款专用、封闭运行”的原则，资金支出需经过培训机构申请、业务科室审核、财务部门复核三级审批。</w:t>
      </w:r>
    </w:p>
    <w:p>
      <w:pPr>
        <w:adjustRightInd w:val="0"/>
        <w:snapToGrid w:val="0"/>
        <w:spacing w:line="600" w:lineRule="exact"/>
        <w:ind w:firstLine="720"/>
        <w:rPr>
          <w:rFonts w:ascii="Times New Roman" w:eastAsia="黑体" w:cs="Times New Roman" w:hAnsi="Times New Roman" w:hint="eastAsia"/>
          <w:bCs w:val="0"/>
          <w:sz w:val="32"/>
          <w:szCs w:val="32"/>
          <w:lang w:val="zh-CN" w:eastAsia="zh-CN"/>
        </w:rPr>
      </w:pPr>
      <w:bookmarkStart w:id="386" w:name="_Toc155975673_WPSOffice_Level2"/>
      <w:bookmarkStart w:id="387" w:name="_Toc777376400_WPSOffice_Level2"/>
      <w:bookmarkStart w:id="388" w:name="_Toc1033485198_WPSOffice_Level2"/>
      <w:bookmarkStart w:id="389" w:name="_Toc97342430_WPSOffice_Level2"/>
      <w:r>
        <w:rPr>
          <w:rFonts w:ascii="Times New Roman" w:eastAsia="黑体" w:cs="Times New Roman" w:hAnsi="Times New Roman" w:hint="eastAsia"/>
          <w:bCs w:val="0"/>
          <w:sz w:val="32"/>
          <w:szCs w:val="32"/>
          <w:lang w:val="en-US" w:eastAsia="zh-CN"/>
        </w:rPr>
        <w:t>四、项目绩效情况</w:t>
      </w:r>
      <w:bookmarkEnd w:id="386"/>
      <w:bookmarkEnd w:id="387"/>
      <w:bookmarkEnd w:id="388"/>
      <w:bookmarkEnd w:id="389"/>
      <w:r>
        <w:rPr>
          <w:rFonts w:ascii="Times New Roman" w:eastAsia="黑体" w:cs="Times New Roman" w:hAnsi="Times New Roman" w:hint="eastAsia"/>
          <w:bCs w:val="0"/>
          <w:sz w:val="32"/>
          <w:szCs w:val="32"/>
          <w:lang w:val="zh-CN" w:eastAsia="zh-CN"/>
        </w:rPr>
        <w:tab/>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（一）项目完成情况。</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sz w:val="32"/>
          <w:szCs w:val="32"/>
          <w:lang w:eastAsia="zh-CN" w:bidi="ar-SA"/>
        </w:rPr>
      </w:pPr>
      <w:r>
        <w:rPr>
          <w:rFonts w:ascii="仿宋_GB2312" w:eastAsia="仿宋_GB2312" w:cs="Times New Roman" w:hint="eastAsia"/>
          <w:sz w:val="32"/>
          <w:szCs w:val="32"/>
          <w:lang w:val="zh-CN" w:eastAsia="zh-CN" w:bidi="ar-SA"/>
        </w:rPr>
        <w:t>2025年项目经费退役士兵管理教育支出5万元</w:t>
      </w:r>
      <w:r>
        <w:rPr>
          <w:rFonts w:ascii="仿宋_GB2312" w:eastAsia="仿宋_GB2312" w:cs="Times New Roman"/>
          <w:sz w:val="32"/>
          <w:szCs w:val="32"/>
          <w:lang w:eastAsia="zh-CN" w:bidi="ar-SA"/>
        </w:rPr>
        <w:t>，</w:t>
      </w:r>
      <w:r>
        <w:rPr>
          <w:rFonts w:ascii="仿宋_GB2312" w:eastAsia="仿宋_GB2312" w:cs="Times New Roman" w:hint="eastAsia"/>
          <w:sz w:val="32"/>
          <w:szCs w:val="32"/>
          <w:lang w:val="zh-CN" w:eastAsia="zh-CN" w:bidi="ar-SA"/>
        </w:rPr>
        <w:t>用于退役士兵适应性培训活动支出。具体绩效目标具体完成情况如下</w:t>
      </w:r>
      <w:r>
        <w:rPr>
          <w:rFonts w:ascii="仿宋_GB2312" w:eastAsia="仿宋_GB2312" w:cs="Times New Roman"/>
          <w:sz w:val="32"/>
          <w:szCs w:val="32"/>
          <w:lang w:eastAsia="zh-CN" w:bidi="ar-SA"/>
        </w:rPr>
        <w:t>：</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数量指标：组织自主就业退役士兵完成103人50学时线下培训。完成25名由政府安排工作退役士兵的线上线下培训。</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质量指标：培训设置了实用性、针对性较强的课程，既有国防动员、乡村振兴、职业生涯规划、心理调适、退役安置政策、实地参观等内容的学习。帮助退役士兵缓解过渡期容易出现的迷茫、焦虑、缺乏自信等集体情绪，促进退役士兵迅速调整自我心态，跳出原有思维惯性，切换工作赛道，实现思想转变，以适应岗位需求。</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实效指标：培训项目从确立方案到落实行动，及时召开工作推进专题会，跟进布置工作任务，提高办事效率，培训于2025年及时完成。</w:t>
      </w:r>
    </w:p>
    <w:p>
      <w:pPr>
        <w:adjustRightInd w:val="0"/>
        <w:snapToGrid w:val="0"/>
        <w:spacing w:line="600" w:lineRule="exact"/>
        <w:ind w:firstLine="720"/>
        <w:rPr>
          <w:rFonts w:ascii="Times New Roman" w:eastAsia="楷体_GB2312" w:cs="Times New Roman" w:hAnsi="Times New Roman" w:hint="eastAsia"/>
          <w:b/>
          <w:bCs w:val="0"/>
          <w:sz w:val="32"/>
          <w:szCs w:val="32"/>
          <w:lang w:val="zh-CN" w:eastAsia="zh-CN"/>
        </w:rPr>
      </w:pPr>
      <w:r>
        <w:rPr>
          <w:rFonts w:ascii="Times New Roman" w:eastAsia="楷体_GB2312" w:cs="Times New Roman" w:hAnsi="Times New Roman" w:hint="eastAsia"/>
          <w:b/>
          <w:bCs w:val="0"/>
          <w:sz w:val="32"/>
          <w:szCs w:val="32"/>
          <w:lang w:val="zh-CN" w:eastAsia="zh-CN"/>
        </w:rPr>
        <w:t>（二）项目效益情况。</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社会效益指标：通过培训，有利于退役士兵了解安置政策、有利于优化知识结构、有利于提高职业规划能力、有利于熟悉就业创业政策、有利于提升就业成功率。激发奋进潜力，锻造与新时代新要求相适应的能力素质，努力为攀枝花高质量发展建设共同富裕试验区再立新功。</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满意度指标：培训对象对今后的职业生涯发展有了更清晰明确的规划和方向，对培训课程较满意。</w:t>
      </w:r>
    </w:p>
    <w:p>
      <w:pPr>
        <w:adjustRightInd w:val="0"/>
        <w:snapToGrid w:val="0"/>
        <w:spacing w:line="600" w:lineRule="exact"/>
        <w:ind w:firstLine="720"/>
        <w:rPr>
          <w:rFonts w:ascii="Times New Roman" w:eastAsia="黑体" w:cs="Times New Roman" w:hAnsi="Times New Roman" w:hint="eastAsia"/>
          <w:bCs w:val="0"/>
          <w:sz w:val="32"/>
          <w:szCs w:val="32"/>
          <w:lang w:val="en-US" w:eastAsia="zh-CN"/>
        </w:rPr>
      </w:pPr>
      <w:bookmarkStart w:id="390" w:name="_Toc1051201727_WPSOffice_Level2"/>
      <w:bookmarkStart w:id="391" w:name="_Toc1263765892_WPSOffice_Level2"/>
      <w:bookmarkStart w:id="392" w:name="_Toc559873992_WPSOffice_Level2"/>
      <w:bookmarkStart w:id="393" w:name="_Toc1970377328_WPSOffice_Level2"/>
      <w:r>
        <w:rPr>
          <w:rFonts w:ascii="Times New Roman" w:eastAsia="黑体" w:cs="Times New Roman" w:hAnsi="Times New Roman" w:hint="eastAsia"/>
          <w:bCs w:val="0"/>
          <w:sz w:val="32"/>
          <w:szCs w:val="32"/>
          <w:lang w:val="en-US" w:eastAsia="zh-CN"/>
        </w:rPr>
        <w:t>五、评价结论及建议</w:t>
      </w:r>
      <w:bookmarkEnd w:id="390"/>
      <w:bookmarkEnd w:id="391"/>
      <w:bookmarkEnd w:id="392"/>
      <w:bookmarkEnd w:id="393"/>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（一）评价结论。</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得分</w:t>
      </w:r>
      <w:r>
        <w:rPr>
          <w:rFonts w:ascii="仿宋_GB2312" w:eastAsia="仿宋_GB2312" w:cs="Times New Roman" w:hint="eastAsia"/>
          <w:sz w:val="32"/>
          <w:szCs w:val="32"/>
          <w:lang w:val="en-US" w:eastAsia="zh-CN" w:bidi="ar-SA"/>
        </w:rPr>
        <w:t>89</w:t>
      </w:r>
      <w:r>
        <w:rPr>
          <w:rFonts w:ascii="仿宋_GB2312" w:eastAsia="仿宋_GB2312" w:cs="Times New Roman" w:hint="eastAsia"/>
          <w:sz w:val="32"/>
          <w:szCs w:val="32"/>
          <w:lang w:val="zh-CN" w:eastAsia="zh-CN" w:bidi="ar-SA"/>
        </w:rPr>
        <w:t>分，完成核心指标，资金使用规范高效。</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（二）存在的问题。</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无。</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hint="eastAsia"/>
          <w:sz w:val="32"/>
          <w:szCs w:val="32"/>
          <w:lang w:val="zh-CN" w:eastAsia="zh-CN" w:bidi="ar-SA"/>
        </w:rPr>
      </w:pPr>
      <w:r>
        <w:rPr>
          <w:rFonts w:ascii="仿宋_GB2312" w:eastAsia="仿宋_GB2312" w:cs="Times New Roman" w:hint="eastAsia"/>
          <w:sz w:val="32"/>
          <w:szCs w:val="32"/>
          <w:lang w:val="zh-CN" w:eastAsia="zh-CN" w:bidi="ar-SA"/>
        </w:rPr>
        <w:t>（三）相关建议。</w:t>
      </w:r>
    </w:p>
    <w:p>
      <w:pPr>
        <w:keepNext w:val="0"/>
        <w:keepLines w:val="0"/>
        <w:pageBreakBefore w:val="0"/>
        <w:widowControl w:val="0"/>
        <w:kinsoku/>
        <w:wordWrap/>
        <w:overflowPunct/>
        <w:topLinePunct w:val="0"/>
        <w:autoSpaceDE/>
        <w:autoSpaceDN w:val="0"/>
        <w:adjustRightInd/>
        <w:snapToGrid/>
        <w:spacing w:line="560" w:lineRule="exact"/>
        <w:ind w:left="0" w:firstLineChars="200" w:firstLine="640"/>
        <w:rPr>
          <w:rFonts w:ascii="仿宋_GB2312" w:eastAsia="仿宋_GB2312" w:cs="Times New Roman"/>
          <w:sz w:val="32"/>
          <w:szCs w:val="32"/>
          <w:lang w:eastAsia="zh-CN" w:bidi="ar-SA"/>
        </w:rPr>
      </w:pPr>
      <w:r>
        <w:rPr>
          <w:rFonts w:ascii="仿宋_GB2312" w:eastAsia="仿宋_GB2312" w:cs="Times New Roman" w:hint="eastAsia"/>
          <w:sz w:val="32"/>
          <w:szCs w:val="32"/>
          <w:lang w:val="zh-CN" w:eastAsia="zh-CN" w:bidi="ar-SA"/>
        </w:rPr>
        <w:t>无。</w:t>
      </w:r>
    </w:p>
    <w:p>
      <w:pPr>
        <w:spacing w:line="578" w:lineRule="exact"/>
        <w:rPr>
          <w:rFonts w:eastAsia="仿宋_GB2312" w:cs="仿宋_GB2312" w:hint="eastAsia"/>
          <w:kern w:val="0"/>
          <w:sz w:val="32"/>
          <w:szCs w:val="32"/>
        </w:rPr>
      </w:pPr>
    </w:p>
    <w:p>
      <w:pPr>
        <w:spacing w:line="578" w:lineRule="exact"/>
        <w:rPr>
          <w:rFonts w:eastAsia="仿宋_GB2312" w:cs="仿宋_GB2312"/>
          <w:kern w:val="0"/>
          <w:sz w:val="32"/>
          <w:szCs w:val="32"/>
        </w:rPr>
      </w:pPr>
      <w:r>
        <w:rPr>
          <w:rFonts w:eastAsia="仿宋_GB2312" w:cs="仿宋_GB2312" w:hint="eastAsia"/>
          <w:kern w:val="0"/>
          <w:sz w:val="32"/>
          <w:szCs w:val="32"/>
        </w:rPr>
        <w:br w:type="page"/>
      </w:r>
    </w:p>
    <w:p>
      <w:pPr>
        <w:pStyle w:val="1"/>
        <w:bidi w:val="0"/>
        <w:jc w:val="center"/>
        <w:rPr>
          <w:rFonts w:eastAsia="仿宋_GB2312" w:cs="仿宋_GB2312"/>
          <w:sz w:val="32"/>
          <w:szCs w:val="32"/>
        </w:rPr>
      </w:pPr>
      <w:bookmarkStart w:id="394" w:name="_Toc252951863_WPSOffice_Level1"/>
      <w:r>
        <w:rPr>
          <w:rFonts w:hint="eastAsia"/>
        </w:rPr>
        <w:t>第五部分 附表</w:t>
      </w:r>
      <w:bookmarkStart w:id="395" w:name="_Toc15396619"/>
      <w:bookmarkEnd w:id="100"/>
      <w:bookmarkEnd w:id="249"/>
      <w:bookmarkEnd w:id="394"/>
    </w:p>
    <w:p>
      <w:pPr>
        <w:pStyle w:val="2"/>
        <w:bidi w:val="0"/>
        <w:rPr>
          <w:rFonts w:ascii="仿宋" w:eastAsia="仿宋" w:cs="仿宋" w:hint="eastAsia"/>
          <w:b w:val="0"/>
          <w:bCs w:val="0"/>
        </w:rPr>
      </w:pPr>
      <w:bookmarkStart w:id="396" w:name="_Toc840748137_WPSOffice_Level2"/>
      <w:r>
        <w:rPr>
          <w:rFonts w:ascii="仿宋" w:eastAsia="仿宋" w:cs="仿宋" w:hint="eastAsia"/>
          <w:b w:val="0"/>
          <w:bCs w:val="0"/>
        </w:rPr>
        <w:t>一、收入支出决算总表</w:t>
      </w:r>
      <w:bookmarkEnd w:id="395"/>
      <w:bookmarkEnd w:id="396"/>
    </w:p>
    <w:p>
      <w:pPr>
        <w:pStyle w:val="2"/>
        <w:bidi w:val="0"/>
        <w:rPr>
          <w:rFonts w:ascii="仿宋" w:eastAsia="仿宋" w:cs="仿宋" w:hint="eastAsia"/>
          <w:b w:val="0"/>
          <w:bCs w:val="0"/>
        </w:rPr>
      </w:pPr>
      <w:bookmarkStart w:id="397" w:name="_Toc450815670_WPSOffice_Level2"/>
      <w:bookmarkStart w:id="398" w:name="_Toc15396620"/>
      <w:r>
        <w:rPr>
          <w:rFonts w:ascii="仿宋" w:eastAsia="仿宋" w:cs="仿宋" w:hint="eastAsia"/>
          <w:b w:val="0"/>
          <w:bCs w:val="0"/>
        </w:rPr>
        <w:t>二、收入决算表</w:t>
      </w:r>
      <w:bookmarkEnd w:id="397"/>
      <w:bookmarkEnd w:id="398"/>
    </w:p>
    <w:p>
      <w:pPr>
        <w:pStyle w:val="2"/>
        <w:bidi w:val="0"/>
        <w:rPr>
          <w:rFonts w:ascii="仿宋" w:eastAsia="仿宋" w:cs="仿宋" w:hint="eastAsia"/>
          <w:b w:val="0"/>
          <w:bCs w:val="0"/>
        </w:rPr>
      </w:pPr>
      <w:bookmarkStart w:id="399" w:name="_Toc15396621"/>
      <w:bookmarkStart w:id="400" w:name="_Toc547293273_WPSOffice_Level2"/>
      <w:r>
        <w:rPr>
          <w:rFonts w:ascii="仿宋" w:eastAsia="仿宋" w:cs="仿宋" w:hint="eastAsia"/>
          <w:b w:val="0"/>
          <w:bCs w:val="0"/>
        </w:rPr>
        <w:t>三、支出决算表</w:t>
      </w:r>
      <w:bookmarkEnd w:id="399"/>
      <w:bookmarkEnd w:id="400"/>
    </w:p>
    <w:p>
      <w:pPr>
        <w:pStyle w:val="2"/>
        <w:bidi w:val="0"/>
        <w:rPr>
          <w:rFonts w:ascii="仿宋" w:eastAsia="仿宋" w:cs="仿宋" w:hint="eastAsia"/>
          <w:b w:val="0"/>
          <w:bCs w:val="0"/>
        </w:rPr>
      </w:pPr>
      <w:bookmarkStart w:id="401" w:name="_Toc2111114398_WPSOffice_Level2"/>
      <w:bookmarkStart w:id="402" w:name="_Toc15396622"/>
      <w:r>
        <w:rPr>
          <w:rFonts w:ascii="仿宋" w:eastAsia="仿宋" w:cs="仿宋" w:hint="eastAsia"/>
          <w:b w:val="0"/>
          <w:bCs w:val="0"/>
        </w:rPr>
        <w:t>四、财政拨款收入支出决算总表</w:t>
      </w:r>
      <w:bookmarkEnd w:id="401"/>
      <w:bookmarkEnd w:id="402"/>
    </w:p>
    <w:p>
      <w:pPr>
        <w:pStyle w:val="2"/>
        <w:bidi w:val="0"/>
        <w:rPr>
          <w:rFonts w:ascii="仿宋" w:eastAsia="仿宋" w:cs="仿宋" w:hint="eastAsia"/>
          <w:b w:val="0"/>
          <w:bCs w:val="0"/>
        </w:rPr>
      </w:pPr>
      <w:bookmarkStart w:id="403" w:name="_Toc440397709_WPSOffice_Level2"/>
      <w:bookmarkStart w:id="404" w:name="_Toc15396623"/>
      <w:r>
        <w:rPr>
          <w:rFonts w:ascii="仿宋" w:eastAsia="仿宋" w:cs="仿宋" w:hint="eastAsia"/>
          <w:b w:val="0"/>
          <w:bCs w:val="0"/>
        </w:rPr>
        <w:t>五、财政拨款支出决算明细表</w:t>
      </w:r>
      <w:bookmarkStart w:id="405" w:name="_Toc15396624"/>
      <w:bookmarkEnd w:id="403"/>
      <w:bookmarkEnd w:id="404"/>
    </w:p>
    <w:p>
      <w:pPr>
        <w:pStyle w:val="2"/>
        <w:bidi w:val="0"/>
        <w:rPr>
          <w:rFonts w:ascii="仿宋" w:eastAsia="仿宋" w:cs="仿宋" w:hint="eastAsia"/>
          <w:b w:val="0"/>
          <w:bCs w:val="0"/>
        </w:rPr>
      </w:pPr>
      <w:bookmarkStart w:id="406" w:name="_Toc2028556692_WPSOffice_Level2"/>
      <w:r>
        <w:rPr>
          <w:rFonts w:ascii="仿宋" w:eastAsia="仿宋" w:cs="仿宋" w:hint="eastAsia"/>
          <w:b w:val="0"/>
          <w:bCs w:val="0"/>
        </w:rPr>
        <w:t>六、一般公共预算财政拨款支出决算表</w:t>
      </w:r>
      <w:bookmarkEnd w:id="405"/>
      <w:bookmarkEnd w:id="406"/>
    </w:p>
    <w:p>
      <w:pPr>
        <w:pStyle w:val="2"/>
        <w:bidi w:val="0"/>
        <w:rPr>
          <w:rFonts w:ascii="仿宋" w:eastAsia="仿宋" w:cs="仿宋" w:hint="eastAsia"/>
          <w:b w:val="0"/>
          <w:bCs w:val="0"/>
        </w:rPr>
      </w:pPr>
      <w:bookmarkStart w:id="407" w:name="_Toc632701917_WPSOffice_Level2"/>
      <w:bookmarkStart w:id="408" w:name="_Toc15396625"/>
      <w:r>
        <w:rPr>
          <w:rFonts w:ascii="仿宋" w:eastAsia="仿宋" w:cs="仿宋" w:hint="eastAsia"/>
          <w:b w:val="0"/>
          <w:bCs w:val="0"/>
        </w:rPr>
        <w:t>七、一般公共预算财政拨款支出决算明细表</w:t>
      </w:r>
      <w:bookmarkEnd w:id="407"/>
      <w:bookmarkEnd w:id="408"/>
    </w:p>
    <w:p>
      <w:pPr>
        <w:pStyle w:val="2"/>
        <w:bidi w:val="0"/>
        <w:rPr>
          <w:rFonts w:ascii="仿宋" w:eastAsia="仿宋" w:cs="仿宋" w:hint="eastAsia"/>
          <w:b w:val="0"/>
          <w:bCs w:val="0"/>
        </w:rPr>
      </w:pPr>
      <w:bookmarkStart w:id="409" w:name="_Toc15396626"/>
      <w:bookmarkStart w:id="410" w:name="_Toc1424671443_WPSOffice_Level2"/>
      <w:r>
        <w:rPr>
          <w:rFonts w:ascii="仿宋" w:eastAsia="仿宋" w:cs="仿宋" w:hint="eastAsia"/>
          <w:b w:val="0"/>
          <w:bCs w:val="0"/>
        </w:rPr>
        <w:t>八、一般公共预算财政拨款基本支出决算表</w:t>
      </w:r>
      <w:bookmarkEnd w:id="409"/>
      <w:bookmarkEnd w:id="410"/>
    </w:p>
    <w:p>
      <w:pPr>
        <w:pStyle w:val="2"/>
        <w:bidi w:val="0"/>
        <w:rPr>
          <w:rFonts w:ascii="仿宋" w:eastAsia="仿宋" w:cs="仿宋" w:hint="eastAsia"/>
          <w:b w:val="0"/>
          <w:bCs w:val="0"/>
        </w:rPr>
      </w:pPr>
      <w:bookmarkStart w:id="411" w:name="_Toc15396627"/>
      <w:bookmarkStart w:id="412" w:name="_Toc690386582_WPSOffice_Level2"/>
      <w:r>
        <w:rPr>
          <w:rFonts w:ascii="仿宋" w:eastAsia="仿宋" w:cs="仿宋" w:hint="eastAsia"/>
          <w:b w:val="0"/>
          <w:bCs w:val="0"/>
        </w:rPr>
        <w:t>九、一般公共预算财政拨款项目支出决算表</w:t>
      </w:r>
      <w:bookmarkEnd w:id="411"/>
      <w:bookmarkEnd w:id="412"/>
    </w:p>
    <w:p>
      <w:pPr>
        <w:pStyle w:val="2"/>
        <w:bidi w:val="0"/>
        <w:rPr>
          <w:rFonts w:ascii="仿宋" w:eastAsia="仿宋" w:cs="仿宋" w:hint="eastAsia"/>
          <w:b w:val="0"/>
          <w:bCs w:val="0"/>
        </w:rPr>
      </w:pPr>
      <w:bookmarkStart w:id="413" w:name="_Toc15396628"/>
      <w:bookmarkStart w:id="414" w:name="_Toc559836670_WPSOffice_Level2"/>
      <w:r>
        <w:rPr>
          <w:rFonts w:ascii="仿宋" w:eastAsia="仿宋" w:cs="仿宋" w:hint="eastAsia"/>
          <w:b w:val="0"/>
          <w:bCs w:val="0"/>
        </w:rPr>
        <w:t>十、</w:t>
      </w:r>
      <w:bookmarkEnd w:id="413"/>
      <w:r>
        <w:rPr>
          <w:rFonts w:ascii="仿宋" w:eastAsia="仿宋" w:cs="仿宋" w:hint="eastAsia"/>
          <w:b w:val="0"/>
          <w:bCs w:val="0"/>
        </w:rPr>
        <w:t>政府性基金预算财政拨款收入支出决算表</w:t>
      </w:r>
      <w:bookmarkEnd w:id="414"/>
    </w:p>
    <w:p>
      <w:pPr>
        <w:pStyle w:val="2"/>
        <w:bidi w:val="0"/>
        <w:rPr>
          <w:rFonts w:ascii="仿宋" w:eastAsia="仿宋" w:cs="仿宋" w:hint="eastAsia"/>
          <w:b w:val="0"/>
          <w:bCs w:val="0"/>
        </w:rPr>
      </w:pPr>
      <w:bookmarkStart w:id="415" w:name="_Toc15396629"/>
      <w:bookmarkStart w:id="416" w:name="_Toc771251687_WPSOffice_Level2"/>
      <w:r>
        <w:rPr>
          <w:rFonts w:ascii="仿宋" w:eastAsia="仿宋" w:cs="仿宋" w:hint="eastAsia"/>
          <w:b w:val="0"/>
          <w:bCs w:val="0"/>
        </w:rPr>
        <w:t>十一、</w:t>
      </w:r>
      <w:bookmarkEnd w:id="415"/>
      <w:r>
        <w:rPr>
          <w:rFonts w:ascii="仿宋" w:eastAsia="仿宋" w:cs="仿宋" w:hint="eastAsia"/>
          <w:b w:val="0"/>
          <w:bCs w:val="0"/>
        </w:rPr>
        <w:t>国有资本经营预算财政拨款收入支出决算表</w:t>
      </w:r>
      <w:bookmarkEnd w:id="416"/>
    </w:p>
    <w:p>
      <w:pPr>
        <w:pStyle w:val="2"/>
        <w:bidi w:val="0"/>
        <w:rPr>
          <w:rFonts w:ascii="仿宋" w:eastAsia="仿宋" w:cs="仿宋" w:hint="eastAsia"/>
          <w:b w:val="0"/>
          <w:bCs w:val="0"/>
        </w:rPr>
      </w:pPr>
      <w:bookmarkStart w:id="417" w:name="_Toc15396630"/>
      <w:bookmarkStart w:id="418" w:name="_Toc964090759_WPSOffice_Level2"/>
      <w:r>
        <w:rPr>
          <w:rFonts w:ascii="仿宋" w:eastAsia="仿宋" w:cs="仿宋" w:hint="eastAsia"/>
          <w:b w:val="0"/>
          <w:bCs w:val="0"/>
        </w:rPr>
        <w:t>十二、</w:t>
      </w:r>
      <w:bookmarkEnd w:id="417"/>
      <w:r>
        <w:rPr>
          <w:rFonts w:ascii="仿宋" w:eastAsia="仿宋" w:cs="仿宋" w:hint="eastAsia"/>
          <w:b w:val="0"/>
          <w:bCs w:val="0"/>
        </w:rPr>
        <w:t>国有资本经营预算财政拨款支出决算表</w:t>
      </w:r>
      <w:bookmarkEnd w:id="418"/>
    </w:p>
    <w:p>
      <w:pPr>
        <w:pStyle w:val="2"/>
        <w:bidi w:val="0"/>
        <w:rPr>
          <w:rFonts w:ascii="仿宋" w:eastAsia="仿宋" w:cs="仿宋" w:hint="eastAsia"/>
          <w:b w:val="0"/>
          <w:bCs w:val="0"/>
        </w:rPr>
      </w:pPr>
      <w:bookmarkStart w:id="419" w:name="_Toc15396631"/>
      <w:bookmarkStart w:id="420" w:name="_Toc1596495355_WPSOffice_Level2"/>
      <w:r>
        <w:rPr>
          <w:rFonts w:ascii="仿宋" w:eastAsia="仿宋" w:cs="仿宋" w:hint="eastAsia"/>
          <w:b w:val="0"/>
          <w:bCs w:val="0"/>
        </w:rPr>
        <w:t>十三、</w:t>
      </w:r>
      <w:bookmarkEnd w:id="419"/>
      <w:r>
        <w:rPr>
          <w:rFonts w:ascii="仿宋" w:eastAsia="仿宋" w:cs="仿宋" w:hint="eastAsia"/>
          <w:b w:val="0"/>
          <w:bCs w:val="0"/>
        </w:rPr>
        <w:t>财政拨款“三公”经费支出决算表</w:t>
      </w:r>
      <w:bookmarkEnd w:id="420"/>
    </w:p>
    <w:p/>
    <w:sectPr>
      <w:footerReference w:type="default" r:id="rId6"/>
      <w:footerReference w:type="first" r:id="rId7"/>
      <w:pgSz w:w="11906" w:h="16838"/>
      <w:pgMar w:top="1440" w:right="1800" w:bottom="1440" w:left="1800" w:header="851" w:footer="992"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altName w:val="DejaVu Sans"/>
    <w:panose1 w:val="02020603050405020304"/>
    <w:charset w:val="00"/>
    <w:family w:val="roman"/>
    <w:pitch w:val="variable"/>
    <w:sig w:usb0="20007A87" w:usb1="80000000" w:usb2="00000008" w:usb3="00000000" w:csb0="000001FF" w:csb1="00000000"/>
  </w:font>
  <w:font w:name="方正小标宋简体">
    <w:panose1 w:val="02000000000000000000"/>
    <w:charset w:val="86"/>
    <w:family w:val="script"/>
    <w:pitch w:val="variable"/>
    <w:sig w:usb0="A00002BF" w:usb1="184F6CFA" w:usb2="00000012" w:usb3="00000000" w:csb0="00040001" w:csb1="00000000"/>
  </w:font>
  <w:font w:name="黑体">
    <w:panose1 w:val="02010609060101010101"/>
    <w:charset w:val="86"/>
    <w:family w:val="auto"/>
    <w:pitch w:val="variable"/>
    <w:sig w:usb0="800002BF" w:usb1="38CF7CFA" w:usb2="00000016" w:usb3="00000000" w:csb0="00040001" w:csb1="00000000"/>
  </w:font>
  <w:font w:name="仿宋_GB2312">
    <w:panose1 w:val="02010609030101010101"/>
    <w:charset w:val="86"/>
    <w:family w:val="modern"/>
    <w:pitch w:val="variable"/>
    <w:sig w:usb0="00000001" w:usb1="080E0000" w:usb2="00000000" w:usb3="00000000" w:csb0="00040000" w:csb1="00000000"/>
  </w:font>
  <w:font w:name="宋体">
    <w:altName w:val="方正书宋_GBK"/>
    <w:panose1 w:val="00000000000000000000"/>
    <w:charset w:val="00"/>
    <w:family w:val="auto"/>
    <w:pitch w:val="variable"/>
    <w:sig w:usb0="00000000" w:usb1="00000000" w:usb2="00000000" w:usb3="00000000" w:csb0="00000000" w:csb1="00000000"/>
  </w:font>
  <w:font w:name="Cambria">
    <w:altName w:val="FreeSerif"/>
    <w:panose1 w:val="02040503050406030204"/>
    <w:charset w:val="00"/>
    <w:family w:val="roman"/>
    <w:pitch w:val="variable"/>
    <w:sig w:usb0="00000000" w:usb1="00000000" w:usb2="00000000" w:usb3="00000000" w:csb0="2000019F"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modern"/>
    <w:pitch w:val="variable"/>
    <w:sig w:usb0="00000001" w:usb1="080E0000" w:usb2="00000000" w:usb3="00000000" w:csb0="00040000" w:csb1="00000000"/>
  </w:font>
  <w:font w:name="微软雅黑">
    <w:altName w:val="宋体"/>
    <w:panose1 w:val="020B0503020204020204"/>
    <w:charset w:val="86"/>
    <w:family w:val="auto"/>
    <w:pitch w:val="variable"/>
    <w:sig w:usb0="80000287" w:usb1="280F3C52" w:usb2="00000016" w:usb3="00000000" w:csb0="0004001F" w:csb1="00000000"/>
  </w:font>
  <w:font w:name="方正黑体_GBK">
    <w:panose1 w:val="02000000000000000000"/>
    <w:charset w:val="86"/>
    <w:family w:val="script"/>
    <w:pitch w:val="variable"/>
    <w:sig w:usb0="00000001" w:usb1="08000000" w:usb2="00000000" w:usb3="00000000" w:csb0="00040000" w:csb1="00000000"/>
  </w:font>
  <w:font w:name="Calibri">
    <w:altName w:val="DejaVu Sans"/>
    <w:panose1 w:val="020F0502020204030204"/>
    <w:charset w:val="00"/>
    <w:family w:val="swiss"/>
    <w:pitch w:val="variable"/>
    <w:sig w:usb0="00000000" w:usb1="00000000" w:usb2="00000001" w:usb3="00000000" w:csb0="0000019F" w:csb1="00000000"/>
  </w:font>
  <w:font w:name="Arial">
    <w:altName w:val="DejaVu Sans"/>
    <w:panose1 w:val="020B0604020202020204"/>
    <w:charset w:val="01"/>
    <w:family w:val="swiss"/>
    <w:pitch w:val="variable"/>
    <w:sig w:usb0="E0002AFF" w:usb1="C0007843" w:usb2="00000009" w:usb3="00000000" w:csb0="400001FF" w:csb1="FFFF0000"/>
  </w:font>
  <w:font w:name="??">
    <w:altName w:val="仿宋"/>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jc w:val="center"/>
    </w:pPr>
  </w:p>
  <w:p>
    <w:pPr>
      <w:pStyle w:val="23"/>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jc w:val="center"/>
    </w:pPr>
  </w:p>
  <w:p>
    <w:pPr>
      <w:pStyle w:val="23"/>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jc w:val="center"/>
    </w:pPr>
  </w:p>
  <w:p>
    <w:pPr>
      <w:pStyle w:val="23"/>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pPr>
    <w:r>
      <mc:AlternateContent>
        <mc:Choice Requires="wps">
          <w:drawing>
            <wp:anchor distT="0" distB="0" distL="114298" distR="114298" simplePos="0" relativeHeight="25" behindDoc="0" locked="0" layoutInCell="1" hidden="0" allowOverlap="1">
              <wp:simplePos x="0" y="0"/>
              <wp:positionH relativeFrom="margin">
                <wp:align>center</wp:align>
              </wp:positionH>
              <wp:positionV relativeFrom="paragraph">
                <wp:posOffset>0</wp:posOffset>
              </wp:positionV>
              <wp:extent cx="227914" cy="133159"/>
              <wp:effectExtent l="0" t="0" r="0" b="0"/>
              <wp:wrapNone/>
              <wp:docPr id="1" name="文本框 6"/>
              <wp:cNvGraphicFramePr>
                <a:graphicFrameLocks noChangeAspect="0"/>
              </wp:cNvGraphicFramePr>
              <a:graphic>
                <a:graphicData uri="http://schemas.microsoft.com/office/word/2010/wordprocessingShape">
                  <wps:wsp>
                    <wps:cNvSpPr/>
                    <wps:spPr>
                      <a:xfrm rot="0">
                        <a:off x="0" y="0"/>
                        <a:ext cx="227914" cy="133159"/>
                      </a:xfrm>
                      <a:prstGeom prst="rect"/>
                      <a:noFill/>
                      <a:ln w="6350" cmpd="sng" cap="flat">
                        <a:noFill/>
                        <a:prstDash val="solid"/>
                        <a:round/>
                      </a:ln>
                    </wps:spPr>
                    <wps:txbx id="2">
                      <w:txbxContent>
                        <w:p>
                          <w:pPr>
                            <w:pStyle w:val="23"/>
                            <w:tabs>
                              <w:tab w:val="center" w:pos="4153"/>
                              <w:tab w:val="right" w:pos="8306"/>
                            </w:tabs>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vert="horz" wrap="none" lIns="0" tIns="0" rIns="0" bIns="0" anchor="t" anchorCtr="0" upright="0">
                      <a:spAutoFit/>
                    </wps:bodyPr>
                  </wps:wsp>
                </a:graphicData>
              </a:graphic>
            </wp:anchor>
          </w:drawing>
        </mc:Choice>
        <mc:Fallback>
          <w:pict>
            <v:shape type="#_x0000_t202" id="文本框 6 3" o:spid="_x0000_s3" filled="f" stroked="f" strokeweight="0.5pt" style="position:absolute;margin-left:0.0pt;margin-top:0.0pt;width:17.945997pt;height:10.484998pt;z-index:25;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3"/>
                      <w:tabs>
                        <w:tab w:val="center" w:pos="4153"/>
                        <w:tab w:val="right" w:pos="8306"/>
                      </w:tabs>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FFFD24CA"/>
    <w:multiLevelType w:val="singleLevel"/>
    <w:tmpl w:val="FFFD24CA"/>
    <w:lvl w:ilvl="0">
      <w:start w:val="5"/>
      <w:numFmt w:val="chineseCounting"/>
      <w:lvlRestart w:val="0"/>
      <w:suff w:val="nothing"/>
      <w:lvlText w:val="%1、"/>
      <w:lvlJc w:val="left"/>
      <w:pPr>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6"/>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pPr>
      <w:keepNext/>
      <w:keepLines/>
      <w:widowControl w:val="0"/>
      <w:spacing w:before="260" w:after="260" w:line="415" w:lineRule="auto"/>
      <w:outlineLvl w:val="1"/>
    </w:pPr>
    <w:rPr>
      <w:rFonts w:ascii="Cambria" w:eastAsia="宋体" w:cs="Times New Roman" w:hAnsi="Cambria"/>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6"/>
    <w:pPr>
      <w:widowControl w:val="0"/>
      <w:jc w:val="both"/>
    </w:pPr>
    <w:rPr>
      <w:rFonts w:ascii="Times New Roman" w:eastAsia="宋体" w:cs="Times New Roman" w:hAnsi="Times New Roman"/>
      <w:kern w:val="2"/>
      <w:sz w:val="21"/>
      <w:szCs w:val="20"/>
      <w:lang w:val="en-US" w:eastAsia="zh-CN" w:bidi="ar-SA"/>
    </w:rPr>
  </w:style>
  <w:style w:type="paragraph" w:customStyle="1" w:styleId="16">
    <w:name w:val="正文-公1"/>
    <w:basedOn w:val="15"/>
    <w:next w:val="0"/>
    <w:pPr>
      <w:ind w:firstLineChars="200" w:firstLine="200"/>
    </w:pPr>
  </w:style>
  <w:style w:type="paragraph" w:styleId="17">
    <w:name w:val="Body Text"/>
    <w:basedOn w:val="0"/>
    <w:pPr>
      <w:spacing w:beforeLines="30" w:before="30"/>
    </w:pPr>
    <w:rPr>
      <w:rFonts w:ascii="仿宋_GB2312" w:eastAsia="仿宋_GB2312"/>
      <w:kern w:val="0"/>
      <w:sz w:val="30"/>
    </w:rPr>
  </w:style>
  <w:style w:type="paragraph" w:styleId="18">
    <w:name w:val="Body Text Indent"/>
    <w:basedOn w:val="0"/>
    <w:next w:val="19"/>
    <w:pPr>
      <w:spacing w:after="120"/>
      <w:ind w:leftChars="200" w:left="200"/>
    </w:pPr>
    <w:rPr>
      <w:rFonts w:ascii="仿宋_GB2312" w:hAnsi="仿宋_GB2312"/>
      <w:szCs w:val="32"/>
    </w:rPr>
  </w:style>
  <w:style w:type="paragraph" w:styleId="19">
    <w:name w:val="Body Text First Indent 2"/>
    <w:basedOn w:val="18"/>
    <w:next w:val="0"/>
    <w:pPr>
      <w:ind w:firstLineChars="200" w:firstLine="200"/>
    </w:pPr>
  </w:style>
  <w:style w:type="paragraph" w:styleId="20">
    <w:name w:val="toc 3"/>
    <w:basedOn w:val="0"/>
    <w:next w:val="0"/>
    <w:pPr>
      <w:tabs>
        <w:tab w:val="right" w:leader="dot" w:pos="8296"/>
      </w:tabs>
      <w:ind w:leftChars="400" w:left="400"/>
    </w:pPr>
  </w:style>
  <w:style w:type="paragraph" w:styleId="21">
    <w:name w:val="Plain Text"/>
    <w:basedOn w:val="0"/>
    <w:rPr>
      <w:rFonts w:ascii="宋体"/>
    </w:rPr>
  </w:style>
  <w:style w:type="paragraph" w:styleId="22">
    <w:name w:val="Balloon Text"/>
    <w:basedOn w:val="0"/>
    <w:rPr>
      <w:sz w:val="18"/>
      <w:szCs w:val="18"/>
    </w:rPr>
  </w:style>
  <w:style w:type="paragraph" w:styleId="23">
    <w:name w:val="footer"/>
    <w:basedOn w:val="0"/>
    <w:pPr>
      <w:tabs>
        <w:tab w:val="center" w:pos="4153"/>
        <w:tab w:val="right" w:pos="8306"/>
      </w:tabs>
      <w:snapToGrid w:val="0"/>
      <w:jc w:val="left"/>
    </w:pPr>
    <w:rPr>
      <w:rFonts w:ascii="Calibri" w:hAnsi="Calibri"/>
      <w:kern w:val="0"/>
      <w:sz w:val="18"/>
      <w:szCs w:val="18"/>
    </w:rPr>
  </w:style>
  <w:style w:type="paragraph" w:styleId="24">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5">
    <w:name w:val="toc 1"/>
    <w:basedOn w:val="0"/>
    <w:next w:val="0"/>
    <w:pPr>
      <w:tabs>
        <w:tab w:val="right" w:leader="dot" w:pos="8296"/>
      </w:tabs>
      <w:spacing w:before="93"/>
      <w:jc w:val="center"/>
    </w:pPr>
    <w:rPr>
      <w:rFonts w:ascii="仿宋" w:eastAsia="仿宋"/>
      <w:sz w:val="28"/>
      <w:szCs w:val="28"/>
    </w:rPr>
  </w:style>
  <w:style w:type="paragraph" w:styleId="26">
    <w:name w:val="footnote text"/>
    <w:basedOn w:val="0"/>
    <w:next w:val="19"/>
    <w:pPr>
      <w:snapToGrid w:val="0"/>
      <w:jc w:val="left"/>
    </w:pPr>
    <w:rPr>
      <w:sz w:val="18"/>
      <w:szCs w:val="18"/>
    </w:rPr>
  </w:style>
  <w:style w:type="paragraph" w:styleId="27">
    <w:name w:val="toc 2"/>
    <w:basedOn w:val="0"/>
    <w:next w:val="0"/>
    <w:pPr>
      <w:tabs>
        <w:tab w:val="right" w:leader="dot" w:pos="8296"/>
      </w:tabs>
      <w:ind w:leftChars="200" w:left="200"/>
    </w:pPr>
  </w:style>
  <w:style w:type="character" w:styleId="28">
    <w:name w:val="Strong"/>
    <w:basedOn w:val="10"/>
    <w:rPr>
      <w:b/>
    </w:rPr>
  </w:style>
  <w:style w:type="character" w:styleId="29">
    <w:name w:val="Hyperlink"/>
    <w:basedOn w:val="10"/>
    <w:rPr>
      <w:color w:val="0000FF"/>
      <w:u w:val="single"/>
    </w:rPr>
  </w:style>
  <w:style w:type="paragraph" w:customStyle="1" w:styleId="30">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31">
    <w:name w:val="Header Char"/>
    <w:basedOn w:val="10"/>
    <w:rPr>
      <w:rFonts w:ascii="Times New Roman" w:hAnsi="Times New Roman"/>
      <w:sz w:val="18"/>
      <w:szCs w:val="18"/>
    </w:rPr>
  </w:style>
  <w:style w:type="character" w:customStyle="1" w:styleId="32">
    <w:name w:val="Footer Char"/>
    <w:basedOn w:val="10"/>
    <w:rPr>
      <w:rFonts w:ascii="Times New Roman" w:hAnsi="Times New Roman"/>
      <w:sz w:val="18"/>
      <w:szCs w:val="18"/>
    </w:rPr>
  </w:style>
  <w:style w:type="character" w:customStyle="1" w:styleId="33">
    <w:name w:val="Body Text Char"/>
    <w:basedOn w:val="10"/>
    <w:rPr>
      <w:rFonts w:ascii="Times New Roman" w:hAnsi="Times New Roman"/>
      <w:szCs w:val="24"/>
    </w:rPr>
  </w:style>
  <w:style w:type="paragraph" w:customStyle="1" w:styleId="34">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5">
    <w:name w:val="List Paragraph"/>
    <w:basedOn w:val="0"/>
    <w:pPr>
      <w:ind w:firstLineChars="200" w:firstLine="200"/>
    </w:pPr>
  </w:style>
  <w:style w:type="paragraph" w:customStyle="1" w:styleId="36">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7">
    <w:name w:val="TOC 标题2"/>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8">
    <w:name w:val="四号正文"/>
    <w:basedOn w:val="0"/>
    <w:pPr>
      <w:spacing w:line="360" w:lineRule="auto"/>
    </w:pPr>
    <w:rPr>
      <w:rFonts w:ascii="??" w:hAnsi="??"/>
      <w:color w:val="000000"/>
      <w:kern w:val="0"/>
      <w:sz w:val="28"/>
      <w:szCs w:val="21"/>
      <w:lang w:val="zh-CN"/>
    </w:rPr>
  </w:style>
  <w:style w:type="paragraph" w:customStyle="1" w:styleId="39">
    <w:name w:val="WPSOffice手动目录 1"/>
    <w:rPr>
      <w:rFonts w:ascii="Times New Roman" w:eastAsia="宋体" w:cs="Times New Roman" w:hAnsi="Times New Roman"/>
      <w:sz w:val="20"/>
      <w:szCs w:val="20"/>
    </w:rPr>
  </w:style>
  <w:style w:type="paragraph" w:customStyle="1" w:styleId="40">
    <w:name w:val="WPSOffice手动目录 2"/>
    <w:pPr>
      <w:ind w:leftChars="200" w:left="200"/>
    </w:pPr>
    <w:rPr>
      <w:rFonts w:ascii="Times New Roman" w:eastAsia="宋体" w:cs="Times New Roman" w:hAnsi="Times New Roman"/>
      <w:sz w:val="20"/>
      <w:szCs w:val="2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image" Target="media/5.png"/><Relationship Id="rId9" Type="http://schemas.openxmlformats.org/officeDocument/2006/relationships/image" Target="media/8.png"/><Relationship Id="rId10" Type="http://schemas.openxmlformats.org/officeDocument/2006/relationships/image" Target="media/11.png"/><Relationship Id="rId11" Type="http://schemas.openxmlformats.org/officeDocument/2006/relationships/image" Target="media/14.png"/><Relationship Id="rId12" Type="http://schemas.openxmlformats.org/officeDocument/2006/relationships/image" Target="media/17.png"/><Relationship Id="rId13" Type="http://schemas.openxmlformats.org/officeDocument/2006/relationships/image" Target="media/20.png"/><Relationship Id="rId14" Type="http://schemas.openxmlformats.org/officeDocument/2006/relationships/image" Target="media/23.png"/><Relationship Id="rId15" Type="http://schemas.openxmlformats.org/officeDocument/2006/relationships/styles" Target="styl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word/glossary/document.xml><?xml version="1.0" encoding="utf-8"?>
<w:glossary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docParts>
    <w:docPart>
      <w:docPartPr>
        <w:name w:val="E99097383CB041CE8101684ED4CF4F0E"/>
        <w:category>
          <w:name w:val="常规"/>
          <w:gallery w:val="placeholder"/>
        </w:category>
        <w:types>
          <w:type w:val="bbPlcHdr"/>
        </w:types>
        <w:behaviors>
          <w:behavior w:val="content"/>
        </w:behaviors>
        <w:guid w:val="{E90596B0-BBF7-4A7D-8B21-D32546D16492}"/>
      </w:docPartPr>
      <w:docPartBody>
        <w:p>
          <w:r>
            <w:rPr>
              <w:rStyle w:val="a3"/>
              <w:rFonts w:hint="eastAsia"/>
            </w:rPr>
            <w:t>单击此处输入文字。</w:t>
          </w:r>
        </w:p>
      </w:docPartBody>
    </w:docPart>
  </w:docParts>
</w:glossaryDocument>
</file>

<file path=word/glossary/fontTable.xml><?xml version="1.0" encoding="utf-8"?>
<w:fonts xmlns:w="http://schemas.openxmlformats.org/wordprocessingml/2006/main" xmlns:r="http://schemas.openxmlformats.org/officeDocument/2006/relationships">
  <w:font w:name="Times New Roman">
    <w:altName w:val="DejaVu Sans"/>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variable"/>
    <w:sig w:usb0="00000000" w:usb1="00000000" w:usb2="00000000" w:usb3="00000000" w:csb0="00000000" w:csb1="00000000"/>
  </w:font>
</w:fonts>
</file>

<file path=word/glossary/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settings>
</file>

<file path=word/glossary/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6"/>
    <w:pPr>
      <w:widowControl w:val="0"/>
      <w:jc w:val="both"/>
    </w:pPr>
    <w:rPr>
      <w:rFonts w:ascii="Times New Roman" w:eastAsia="宋体" w:cs="Times New Roman" w:hAnsi="Times New Roman"/>
      <w:kern w:val="2"/>
      <w:sz w:val="21"/>
      <w:szCs w:val="24"/>
      <w:lang w:val="en-US" w:eastAsia="zh-CN" w:bidi="ar-SA"/>
    </w:rPr>
  </w:style>
  <w:style w:type="character" w:default="1" w:styleId="10">
    <w:name w:val="Default Paragraph Font"/>
  </w:style>
  <w:style w:type="character" w:styleId="a3">
    <w:name w:val="Placeholder Text"/>
    <w:basedOn w:val="10"/>
    <w:rPr>
      <w:color w:val="808080"/>
    </w:rPr>
  </w:style>
</w:styles>
</file>

<file path=docProps/app.xml><?xml version="1.0" encoding="utf-8"?>
<Properties xmlns="http://schemas.openxmlformats.org/officeDocument/2006/extended-properties">
  <Template>Normal.eit</Template>
  <TotalTime>15</TotalTime>
  <Application>Yozo_Office27021597764231179</Application>
  <Pages>94</Pages>
  <Words>37796</Words>
  <Characters>40728</Characters>
  <Lines>4309</Lines>
  <Paragraphs>1926</Paragraphs>
  <CharactersWithSpaces>40887</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38</cp:revision>
  <cp:lastPrinted>2026-08-29T16:27:00Z</cp:lastPrinted>
  <dcterms:created xsi:type="dcterms:W3CDTF">2020-08-11T09:49:00Z</dcterms:created>
  <dcterms:modified xsi:type="dcterms:W3CDTF">2026-10-19T07:58:29Z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2052-11.8.2.9864</vt:lpwstr>
  </property>
  <property fmtid="{D5CDD505-2E9C-101B-9397-08002B2CF9AE}" pid="3" name="ICV">
    <vt:lpwstr>3BF536824C220DA3E40E8B68BA118B1C_42</vt:lpwstr>
  </property>
</Properties>
</file>